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5DA86" w14:textId="77777777" w:rsidR="004960A8" w:rsidRDefault="004960A8" w:rsidP="004960A8">
      <w:pPr>
        <w:jc w:val="center"/>
        <w:rPr>
          <w:color w:val="5F497A" w:themeColor="accent4" w:themeShade="BF"/>
          <w:sz w:val="44"/>
          <w:szCs w:val="44"/>
        </w:rPr>
      </w:pPr>
    </w:p>
    <w:p w14:paraId="45BCFD3A" w14:textId="360DF4A9" w:rsidR="004960A8" w:rsidRDefault="00632A79" w:rsidP="004960A8">
      <w:pPr>
        <w:jc w:val="center"/>
        <w:rPr>
          <w:color w:val="5F497A" w:themeColor="accent4" w:themeShade="BF"/>
          <w:sz w:val="44"/>
          <w:szCs w:val="44"/>
        </w:rPr>
      </w:pPr>
      <w:r>
        <w:rPr>
          <w:color w:val="5F497A" w:themeColor="accent4" w:themeShade="BF"/>
          <w:sz w:val="44"/>
          <w:szCs w:val="44"/>
        </w:rPr>
        <w:t xml:space="preserve">  </w:t>
      </w:r>
      <w:r w:rsidR="00EC5D41" w:rsidRPr="00B51A3C">
        <w:rPr>
          <w:noProof/>
          <w:color w:val="5F497A" w:themeColor="accent4" w:themeShade="BF"/>
          <w:sz w:val="44"/>
          <w:szCs w:val="44"/>
          <w:lang w:val="en-IE" w:eastAsia="en-IE"/>
        </w:rPr>
        <w:drawing>
          <wp:inline distT="0" distB="0" distL="0" distR="0" wp14:anchorId="51640CCB" wp14:editId="2E4E37A6">
            <wp:extent cx="3272093" cy="12858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AI logo.jpg"/>
                    <pic:cNvPicPr/>
                  </pic:nvPicPr>
                  <pic:blipFill>
                    <a:blip r:embed="rId9">
                      <a:extLst>
                        <a:ext uri="{28A0092B-C50C-407E-A947-70E740481C1C}">
                          <a14:useLocalDpi xmlns:a14="http://schemas.microsoft.com/office/drawing/2010/main" val="0"/>
                        </a:ext>
                      </a:extLst>
                    </a:blip>
                    <a:stretch>
                      <a:fillRect/>
                    </a:stretch>
                  </pic:blipFill>
                  <pic:spPr>
                    <a:xfrm>
                      <a:off x="0" y="0"/>
                      <a:ext cx="3272093" cy="1285875"/>
                    </a:xfrm>
                    <a:prstGeom prst="rect">
                      <a:avLst/>
                    </a:prstGeom>
                  </pic:spPr>
                </pic:pic>
              </a:graphicData>
            </a:graphic>
          </wp:inline>
        </w:drawing>
      </w:r>
    </w:p>
    <w:p w14:paraId="7243CAA6" w14:textId="1EA01DB0" w:rsidR="00D979DA" w:rsidRPr="00D979DA" w:rsidRDefault="00BD5C64" w:rsidP="00D979DA">
      <w:pPr>
        <w:ind w:left="360"/>
        <w:jc w:val="center"/>
        <w:rPr>
          <w:color w:val="5F497A" w:themeColor="accent4" w:themeShade="BF"/>
          <w:sz w:val="44"/>
          <w:szCs w:val="44"/>
        </w:rPr>
      </w:pPr>
      <w:r w:rsidRPr="00D979DA">
        <w:rPr>
          <w:color w:val="5F497A" w:themeColor="accent4" w:themeShade="BF"/>
          <w:sz w:val="44"/>
          <w:szCs w:val="44"/>
        </w:rPr>
        <w:t xml:space="preserve">Pulling </w:t>
      </w:r>
      <w:r w:rsidR="00323CA6" w:rsidRPr="00D979DA">
        <w:rPr>
          <w:color w:val="5F497A" w:themeColor="accent4" w:themeShade="BF"/>
          <w:sz w:val="44"/>
          <w:szCs w:val="44"/>
        </w:rPr>
        <w:t>together</w:t>
      </w:r>
      <w:r w:rsidR="009034CF">
        <w:rPr>
          <w:color w:val="5F497A" w:themeColor="accent4" w:themeShade="BF"/>
          <w:sz w:val="44"/>
          <w:szCs w:val="44"/>
        </w:rPr>
        <w:t>:</w:t>
      </w:r>
      <w:r w:rsidRPr="00D979DA">
        <w:rPr>
          <w:color w:val="5F497A" w:themeColor="accent4" w:themeShade="BF"/>
          <w:sz w:val="44"/>
          <w:szCs w:val="44"/>
        </w:rPr>
        <w:t xml:space="preserve"> </w:t>
      </w:r>
    </w:p>
    <w:p w14:paraId="34ED3A6C" w14:textId="77777777" w:rsidR="00D979DA" w:rsidRDefault="00BD5C64" w:rsidP="00D979DA">
      <w:pPr>
        <w:pStyle w:val="ListParagraph"/>
        <w:jc w:val="center"/>
        <w:rPr>
          <w:color w:val="5F497A" w:themeColor="accent4" w:themeShade="BF"/>
          <w:sz w:val="44"/>
          <w:szCs w:val="44"/>
        </w:rPr>
      </w:pPr>
      <w:r w:rsidRPr="00D979DA">
        <w:rPr>
          <w:color w:val="5F497A" w:themeColor="accent4" w:themeShade="BF"/>
          <w:sz w:val="44"/>
          <w:szCs w:val="44"/>
        </w:rPr>
        <w:t xml:space="preserve">A synthesis </w:t>
      </w:r>
      <w:r w:rsidR="00D979DA" w:rsidRPr="00D979DA">
        <w:rPr>
          <w:color w:val="5F497A" w:themeColor="accent4" w:themeShade="BF"/>
          <w:sz w:val="44"/>
          <w:szCs w:val="44"/>
        </w:rPr>
        <w:t xml:space="preserve">of the work of </w:t>
      </w:r>
    </w:p>
    <w:p w14:paraId="38A32A3B" w14:textId="0BE715AF" w:rsidR="00BD5C64" w:rsidRPr="00D979DA" w:rsidRDefault="00BD5C64" w:rsidP="00D979DA">
      <w:pPr>
        <w:pStyle w:val="ListParagraph"/>
        <w:jc w:val="center"/>
        <w:rPr>
          <w:color w:val="5F497A" w:themeColor="accent4" w:themeShade="BF"/>
          <w:sz w:val="44"/>
          <w:szCs w:val="44"/>
        </w:rPr>
      </w:pPr>
      <w:r w:rsidRPr="00D979DA">
        <w:rPr>
          <w:color w:val="5F497A" w:themeColor="accent4" w:themeShade="BF"/>
          <w:sz w:val="44"/>
          <w:szCs w:val="44"/>
        </w:rPr>
        <w:t>The Advocacy Initiative 2010-2014</w:t>
      </w:r>
    </w:p>
    <w:p w14:paraId="0369DF37" w14:textId="2D247F52" w:rsidR="00BD6B9A" w:rsidRPr="00FF7255" w:rsidRDefault="00BD6B9A" w:rsidP="004960A8">
      <w:pPr>
        <w:jc w:val="center"/>
        <w:rPr>
          <w:color w:val="5F497A" w:themeColor="accent4" w:themeShade="BF"/>
          <w:sz w:val="14"/>
          <w:szCs w:val="32"/>
        </w:rPr>
      </w:pPr>
    </w:p>
    <w:p w14:paraId="76791FA2" w14:textId="3FAEA719" w:rsidR="004960A8" w:rsidRDefault="00176AAD" w:rsidP="00BD5C64">
      <w:pPr>
        <w:jc w:val="center"/>
        <w:rPr>
          <w:color w:val="5F497A" w:themeColor="accent4" w:themeShade="BF"/>
          <w:sz w:val="44"/>
          <w:szCs w:val="44"/>
        </w:rPr>
      </w:pPr>
      <w:r>
        <w:rPr>
          <w:color w:val="5F497A" w:themeColor="accent4" w:themeShade="BF"/>
          <w:sz w:val="44"/>
          <w:szCs w:val="44"/>
        </w:rPr>
        <w:t xml:space="preserve">May </w:t>
      </w:r>
      <w:r w:rsidR="00D979DA">
        <w:rPr>
          <w:color w:val="5F497A" w:themeColor="accent4" w:themeShade="BF"/>
          <w:sz w:val="44"/>
          <w:szCs w:val="44"/>
        </w:rPr>
        <w:t>13</w:t>
      </w:r>
      <w:r w:rsidR="00D979DA" w:rsidRPr="00D979DA">
        <w:rPr>
          <w:color w:val="5F497A" w:themeColor="accent4" w:themeShade="BF"/>
          <w:sz w:val="44"/>
          <w:szCs w:val="44"/>
          <w:vertAlign w:val="superscript"/>
        </w:rPr>
        <w:t>th</w:t>
      </w:r>
      <w:r w:rsidR="00D979DA">
        <w:rPr>
          <w:color w:val="5F497A" w:themeColor="accent4" w:themeShade="BF"/>
          <w:sz w:val="44"/>
          <w:szCs w:val="44"/>
        </w:rPr>
        <w:t xml:space="preserve"> </w:t>
      </w:r>
      <w:r w:rsidR="008B64BB" w:rsidRPr="004960A8">
        <w:rPr>
          <w:color w:val="5F497A" w:themeColor="accent4" w:themeShade="BF"/>
          <w:sz w:val="44"/>
          <w:szCs w:val="44"/>
        </w:rPr>
        <w:t xml:space="preserve">2014 </w:t>
      </w:r>
    </w:p>
    <w:p w14:paraId="6D8E5B5F" w14:textId="77777777" w:rsidR="00D979DA" w:rsidRPr="00FF7255" w:rsidRDefault="00D979DA" w:rsidP="00BD5C64">
      <w:pPr>
        <w:jc w:val="center"/>
        <w:rPr>
          <w:color w:val="5F497A" w:themeColor="accent4" w:themeShade="BF"/>
          <w:szCs w:val="44"/>
        </w:rPr>
      </w:pPr>
    </w:p>
    <w:p w14:paraId="1FBF8D34" w14:textId="61879DEA" w:rsidR="004960A8" w:rsidRPr="004960A8" w:rsidRDefault="00BD6B9A" w:rsidP="004960A8">
      <w:pPr>
        <w:jc w:val="center"/>
        <w:rPr>
          <w:color w:val="5F497A" w:themeColor="accent4" w:themeShade="BF"/>
          <w:sz w:val="44"/>
          <w:szCs w:val="44"/>
        </w:rPr>
      </w:pPr>
      <w:r>
        <w:rPr>
          <w:color w:val="5F497A" w:themeColor="accent4" w:themeShade="BF"/>
          <w:sz w:val="44"/>
          <w:szCs w:val="44"/>
        </w:rPr>
        <w:t>Author:</w:t>
      </w:r>
      <w:r w:rsidR="00BD5C64">
        <w:rPr>
          <w:color w:val="5F497A" w:themeColor="accent4" w:themeShade="BF"/>
          <w:sz w:val="44"/>
          <w:szCs w:val="44"/>
        </w:rPr>
        <w:t xml:space="preserve"> </w:t>
      </w:r>
      <w:r w:rsidR="004960A8">
        <w:rPr>
          <w:color w:val="5F497A" w:themeColor="accent4" w:themeShade="BF"/>
          <w:sz w:val="44"/>
          <w:szCs w:val="44"/>
        </w:rPr>
        <w:t xml:space="preserve">Kathy Walsh </w:t>
      </w:r>
      <w:r>
        <w:rPr>
          <w:color w:val="5F497A" w:themeColor="accent4" w:themeShade="BF"/>
          <w:sz w:val="44"/>
          <w:szCs w:val="44"/>
        </w:rPr>
        <w:t>(</w:t>
      </w:r>
      <w:r w:rsidR="008D740E">
        <w:rPr>
          <w:color w:val="5F497A" w:themeColor="accent4" w:themeShade="BF"/>
          <w:sz w:val="44"/>
          <w:szCs w:val="44"/>
        </w:rPr>
        <w:t xml:space="preserve">with </w:t>
      </w:r>
      <w:proofErr w:type="gramStart"/>
      <w:r w:rsidR="00EC29A2">
        <w:rPr>
          <w:color w:val="5F497A" w:themeColor="accent4" w:themeShade="BF"/>
          <w:sz w:val="44"/>
          <w:szCs w:val="44"/>
        </w:rPr>
        <w:t>T</w:t>
      </w:r>
      <w:r w:rsidR="008D740E">
        <w:rPr>
          <w:color w:val="5F497A" w:themeColor="accent4" w:themeShade="BF"/>
          <w:sz w:val="44"/>
          <w:szCs w:val="44"/>
        </w:rPr>
        <w:t>he</w:t>
      </w:r>
      <w:proofErr w:type="gramEnd"/>
      <w:r w:rsidR="008D740E">
        <w:rPr>
          <w:color w:val="5F497A" w:themeColor="accent4" w:themeShade="BF"/>
          <w:sz w:val="44"/>
          <w:szCs w:val="44"/>
        </w:rPr>
        <w:t xml:space="preserve"> </w:t>
      </w:r>
      <w:r>
        <w:rPr>
          <w:color w:val="5F497A" w:themeColor="accent4" w:themeShade="BF"/>
          <w:sz w:val="44"/>
          <w:szCs w:val="44"/>
        </w:rPr>
        <w:t>Advocacy Initiative</w:t>
      </w:r>
      <w:r w:rsidR="008D740E">
        <w:rPr>
          <w:color w:val="5F497A" w:themeColor="accent4" w:themeShade="BF"/>
          <w:sz w:val="44"/>
          <w:szCs w:val="44"/>
        </w:rPr>
        <w:t xml:space="preserve"> Steering Committee</w:t>
      </w:r>
      <w:r>
        <w:rPr>
          <w:color w:val="5F497A" w:themeColor="accent4" w:themeShade="BF"/>
          <w:sz w:val="44"/>
          <w:szCs w:val="44"/>
        </w:rPr>
        <w:t>)</w:t>
      </w:r>
    </w:p>
    <w:p w14:paraId="1298C767" w14:textId="77777777" w:rsidR="004960A8" w:rsidRDefault="004960A8"/>
    <w:p w14:paraId="4EAF4BD4" w14:textId="77777777" w:rsidR="004960A8" w:rsidRDefault="004960A8" w:rsidP="004960A8">
      <w:pPr>
        <w:jc w:val="center"/>
        <w:rPr>
          <w:color w:val="7030A0"/>
        </w:rPr>
      </w:pPr>
    </w:p>
    <w:p w14:paraId="1CA035BA" w14:textId="77777777" w:rsidR="00E169C6" w:rsidRDefault="00E169C6" w:rsidP="004960A8">
      <w:pPr>
        <w:jc w:val="center"/>
        <w:rPr>
          <w:color w:val="7030A0"/>
        </w:rPr>
      </w:pPr>
    </w:p>
    <w:p w14:paraId="4939D2D9" w14:textId="77777777" w:rsidR="00E169C6" w:rsidRDefault="00E169C6" w:rsidP="004960A8">
      <w:pPr>
        <w:jc w:val="center"/>
        <w:rPr>
          <w:color w:val="7030A0"/>
        </w:rPr>
      </w:pPr>
    </w:p>
    <w:p w14:paraId="4A5AA41A" w14:textId="77777777" w:rsidR="00E169C6" w:rsidRDefault="00E169C6" w:rsidP="004960A8">
      <w:pPr>
        <w:jc w:val="center"/>
        <w:rPr>
          <w:color w:val="7030A0"/>
        </w:rPr>
      </w:pPr>
    </w:p>
    <w:p w14:paraId="1256480C" w14:textId="77777777" w:rsidR="00E169C6" w:rsidRDefault="00E169C6" w:rsidP="004960A8">
      <w:pPr>
        <w:jc w:val="center"/>
        <w:rPr>
          <w:color w:val="7030A0"/>
        </w:rPr>
      </w:pPr>
    </w:p>
    <w:p w14:paraId="1316BC98" w14:textId="77777777" w:rsidR="00E169C6" w:rsidRDefault="00E169C6" w:rsidP="004960A8">
      <w:pPr>
        <w:jc w:val="center"/>
        <w:rPr>
          <w:color w:val="7030A0"/>
        </w:rPr>
      </w:pPr>
    </w:p>
    <w:p w14:paraId="6A4DCA97" w14:textId="77777777" w:rsidR="00E169C6" w:rsidRDefault="00E169C6" w:rsidP="004960A8">
      <w:pPr>
        <w:jc w:val="center"/>
        <w:rPr>
          <w:color w:val="7030A0"/>
        </w:rPr>
      </w:pPr>
    </w:p>
    <w:p w14:paraId="4561E59C" w14:textId="77777777" w:rsidR="00E169C6" w:rsidRDefault="00E169C6" w:rsidP="004960A8">
      <w:pPr>
        <w:jc w:val="center"/>
        <w:rPr>
          <w:color w:val="7030A0"/>
        </w:rPr>
      </w:pPr>
    </w:p>
    <w:p w14:paraId="57B27AF2" w14:textId="77777777" w:rsidR="00E169C6" w:rsidRDefault="00E169C6" w:rsidP="004960A8">
      <w:pPr>
        <w:jc w:val="center"/>
        <w:rPr>
          <w:color w:val="7030A0"/>
        </w:rPr>
      </w:pPr>
    </w:p>
    <w:p w14:paraId="7523779E" w14:textId="77777777" w:rsidR="00E169C6" w:rsidRDefault="00E169C6" w:rsidP="004960A8">
      <w:pPr>
        <w:jc w:val="center"/>
        <w:rPr>
          <w:color w:val="7030A0"/>
        </w:rPr>
      </w:pPr>
    </w:p>
    <w:p w14:paraId="35FCDD69" w14:textId="77777777" w:rsidR="004960A8" w:rsidRDefault="004960A8" w:rsidP="004960A8">
      <w:pPr>
        <w:jc w:val="center"/>
        <w:rPr>
          <w:b/>
          <w:color w:val="7030A0"/>
          <w:sz w:val="32"/>
          <w:szCs w:val="32"/>
        </w:rPr>
      </w:pPr>
      <w:r w:rsidRPr="00582350">
        <w:rPr>
          <w:b/>
          <w:color w:val="7030A0"/>
          <w:sz w:val="32"/>
          <w:szCs w:val="32"/>
        </w:rPr>
        <w:lastRenderedPageBreak/>
        <w:t>Table of Contents</w:t>
      </w:r>
    </w:p>
    <w:p w14:paraId="5730D433" w14:textId="77777777" w:rsidR="00441B0D" w:rsidRDefault="00441B0D">
      <w:pPr>
        <w:pStyle w:val="TOC1"/>
        <w:tabs>
          <w:tab w:val="right" w:leader="dot" w:pos="9628"/>
        </w:tabs>
        <w:rPr>
          <w:noProof/>
          <w:lang w:val="en-IE" w:eastAsia="en-IE"/>
        </w:rPr>
      </w:pPr>
      <w:r>
        <w:fldChar w:fldCharType="begin"/>
      </w:r>
      <w:r>
        <w:instrText xml:space="preserve"> TOC \o "1-2" \h \z \u </w:instrText>
      </w:r>
      <w:r>
        <w:fldChar w:fldCharType="separate"/>
      </w:r>
      <w:hyperlink w:anchor="_Toc394493470" w:history="1">
        <w:r w:rsidRPr="00981A87">
          <w:rPr>
            <w:rStyle w:val="Hyperlink"/>
            <w:noProof/>
          </w:rPr>
          <w:t>What is social justice advocacy and who is involved?</w:t>
        </w:r>
        <w:r>
          <w:rPr>
            <w:noProof/>
            <w:webHidden/>
          </w:rPr>
          <w:tab/>
        </w:r>
        <w:r>
          <w:rPr>
            <w:noProof/>
            <w:webHidden/>
          </w:rPr>
          <w:fldChar w:fldCharType="begin"/>
        </w:r>
        <w:r>
          <w:rPr>
            <w:noProof/>
            <w:webHidden/>
          </w:rPr>
          <w:instrText xml:space="preserve"> PAGEREF _Toc394493470 \h </w:instrText>
        </w:r>
        <w:r>
          <w:rPr>
            <w:noProof/>
            <w:webHidden/>
          </w:rPr>
        </w:r>
        <w:r>
          <w:rPr>
            <w:noProof/>
            <w:webHidden/>
          </w:rPr>
          <w:fldChar w:fldCharType="separate"/>
        </w:r>
        <w:r>
          <w:rPr>
            <w:noProof/>
            <w:webHidden/>
          </w:rPr>
          <w:t>3</w:t>
        </w:r>
        <w:r>
          <w:rPr>
            <w:noProof/>
            <w:webHidden/>
          </w:rPr>
          <w:fldChar w:fldCharType="end"/>
        </w:r>
      </w:hyperlink>
    </w:p>
    <w:p w14:paraId="0749800C" w14:textId="77777777" w:rsidR="00441B0D" w:rsidRDefault="00441B0D">
      <w:pPr>
        <w:pStyle w:val="TOC2"/>
        <w:tabs>
          <w:tab w:val="left" w:pos="880"/>
          <w:tab w:val="right" w:leader="dot" w:pos="9628"/>
        </w:tabs>
        <w:rPr>
          <w:noProof/>
          <w:lang w:val="en-IE" w:eastAsia="en-IE"/>
        </w:rPr>
      </w:pPr>
      <w:hyperlink w:anchor="_Toc394493471" w:history="1">
        <w:r w:rsidRPr="00981A87">
          <w:rPr>
            <w:rStyle w:val="Hyperlink"/>
            <w:noProof/>
          </w:rPr>
          <w:t xml:space="preserve">1.1 </w:t>
        </w:r>
        <w:r>
          <w:rPr>
            <w:noProof/>
            <w:lang w:val="en-IE" w:eastAsia="en-IE"/>
          </w:rPr>
          <w:tab/>
        </w:r>
        <w:r w:rsidRPr="00981A87">
          <w:rPr>
            <w:rStyle w:val="Hyperlink"/>
            <w:noProof/>
          </w:rPr>
          <w:t>What is social justice advocacy?</w:t>
        </w:r>
        <w:r>
          <w:rPr>
            <w:noProof/>
            <w:webHidden/>
          </w:rPr>
          <w:tab/>
        </w:r>
        <w:r>
          <w:rPr>
            <w:noProof/>
            <w:webHidden/>
          </w:rPr>
          <w:fldChar w:fldCharType="begin"/>
        </w:r>
        <w:r>
          <w:rPr>
            <w:noProof/>
            <w:webHidden/>
          </w:rPr>
          <w:instrText xml:space="preserve"> PAGEREF _Toc394493471 \h </w:instrText>
        </w:r>
        <w:r>
          <w:rPr>
            <w:noProof/>
            <w:webHidden/>
          </w:rPr>
        </w:r>
        <w:r>
          <w:rPr>
            <w:noProof/>
            <w:webHidden/>
          </w:rPr>
          <w:fldChar w:fldCharType="separate"/>
        </w:r>
        <w:r>
          <w:rPr>
            <w:noProof/>
            <w:webHidden/>
          </w:rPr>
          <w:t>3</w:t>
        </w:r>
        <w:r>
          <w:rPr>
            <w:noProof/>
            <w:webHidden/>
          </w:rPr>
          <w:fldChar w:fldCharType="end"/>
        </w:r>
      </w:hyperlink>
    </w:p>
    <w:p w14:paraId="29C205D5" w14:textId="77777777" w:rsidR="00441B0D" w:rsidRDefault="00441B0D">
      <w:pPr>
        <w:pStyle w:val="TOC2"/>
        <w:tabs>
          <w:tab w:val="left" w:pos="880"/>
          <w:tab w:val="right" w:leader="dot" w:pos="9628"/>
        </w:tabs>
        <w:rPr>
          <w:noProof/>
          <w:lang w:val="en-IE" w:eastAsia="en-IE"/>
        </w:rPr>
      </w:pPr>
      <w:hyperlink w:anchor="_Toc394493472" w:history="1">
        <w:r w:rsidRPr="00981A87">
          <w:rPr>
            <w:rStyle w:val="Hyperlink"/>
            <w:noProof/>
          </w:rPr>
          <w:t>1.2</w:t>
        </w:r>
        <w:r>
          <w:rPr>
            <w:noProof/>
            <w:lang w:val="en-IE" w:eastAsia="en-IE"/>
          </w:rPr>
          <w:tab/>
        </w:r>
        <w:r w:rsidRPr="00981A87">
          <w:rPr>
            <w:rStyle w:val="Hyperlink"/>
            <w:noProof/>
          </w:rPr>
          <w:t>Who is involved in social justice advocacy?</w:t>
        </w:r>
        <w:r>
          <w:rPr>
            <w:noProof/>
            <w:webHidden/>
          </w:rPr>
          <w:tab/>
        </w:r>
        <w:r>
          <w:rPr>
            <w:noProof/>
            <w:webHidden/>
          </w:rPr>
          <w:fldChar w:fldCharType="begin"/>
        </w:r>
        <w:r>
          <w:rPr>
            <w:noProof/>
            <w:webHidden/>
          </w:rPr>
          <w:instrText xml:space="preserve"> PAGEREF _Toc394493472 \h </w:instrText>
        </w:r>
        <w:r>
          <w:rPr>
            <w:noProof/>
            <w:webHidden/>
          </w:rPr>
        </w:r>
        <w:r>
          <w:rPr>
            <w:noProof/>
            <w:webHidden/>
          </w:rPr>
          <w:fldChar w:fldCharType="separate"/>
        </w:r>
        <w:r>
          <w:rPr>
            <w:noProof/>
            <w:webHidden/>
          </w:rPr>
          <w:t>5</w:t>
        </w:r>
        <w:r>
          <w:rPr>
            <w:noProof/>
            <w:webHidden/>
          </w:rPr>
          <w:fldChar w:fldCharType="end"/>
        </w:r>
      </w:hyperlink>
    </w:p>
    <w:p w14:paraId="13667C12" w14:textId="77777777" w:rsidR="00441B0D" w:rsidRDefault="00441B0D">
      <w:pPr>
        <w:pStyle w:val="TOC1"/>
        <w:tabs>
          <w:tab w:val="left" w:pos="440"/>
          <w:tab w:val="right" w:leader="dot" w:pos="9628"/>
        </w:tabs>
        <w:rPr>
          <w:noProof/>
          <w:lang w:val="en-IE" w:eastAsia="en-IE"/>
        </w:rPr>
      </w:pPr>
      <w:hyperlink w:anchor="_Toc394493473" w:history="1">
        <w:r w:rsidRPr="00981A87">
          <w:rPr>
            <w:rStyle w:val="Hyperlink"/>
            <w:noProof/>
          </w:rPr>
          <w:t>2</w:t>
        </w:r>
        <w:r>
          <w:rPr>
            <w:noProof/>
            <w:lang w:val="en-IE" w:eastAsia="en-IE"/>
          </w:rPr>
          <w:tab/>
        </w:r>
        <w:r w:rsidRPr="00981A87">
          <w:rPr>
            <w:rStyle w:val="Hyperlink"/>
            <w:noProof/>
          </w:rPr>
          <w:t>What we did - The Story of the Advocacy Initiative</w:t>
        </w:r>
        <w:r>
          <w:rPr>
            <w:noProof/>
            <w:webHidden/>
          </w:rPr>
          <w:tab/>
        </w:r>
        <w:r>
          <w:rPr>
            <w:noProof/>
            <w:webHidden/>
          </w:rPr>
          <w:fldChar w:fldCharType="begin"/>
        </w:r>
        <w:r>
          <w:rPr>
            <w:noProof/>
            <w:webHidden/>
          </w:rPr>
          <w:instrText xml:space="preserve"> PAGEREF _Toc394493473 \h </w:instrText>
        </w:r>
        <w:r>
          <w:rPr>
            <w:noProof/>
            <w:webHidden/>
          </w:rPr>
        </w:r>
        <w:r>
          <w:rPr>
            <w:noProof/>
            <w:webHidden/>
          </w:rPr>
          <w:fldChar w:fldCharType="separate"/>
        </w:r>
        <w:r>
          <w:rPr>
            <w:noProof/>
            <w:webHidden/>
          </w:rPr>
          <w:t>7</w:t>
        </w:r>
        <w:r>
          <w:rPr>
            <w:noProof/>
            <w:webHidden/>
          </w:rPr>
          <w:fldChar w:fldCharType="end"/>
        </w:r>
      </w:hyperlink>
    </w:p>
    <w:p w14:paraId="5DB28126" w14:textId="77777777" w:rsidR="00441B0D" w:rsidRDefault="00441B0D">
      <w:pPr>
        <w:pStyle w:val="TOC2"/>
        <w:tabs>
          <w:tab w:val="right" w:leader="dot" w:pos="9628"/>
        </w:tabs>
        <w:rPr>
          <w:noProof/>
          <w:lang w:val="en-IE" w:eastAsia="en-IE"/>
        </w:rPr>
      </w:pPr>
      <w:hyperlink w:anchor="_Toc394493474" w:history="1">
        <w:r w:rsidRPr="00981A87">
          <w:rPr>
            <w:rStyle w:val="Hyperlink"/>
            <w:noProof/>
          </w:rPr>
          <w:t>2.1 Initiative development</w:t>
        </w:r>
        <w:r>
          <w:rPr>
            <w:noProof/>
            <w:webHidden/>
          </w:rPr>
          <w:tab/>
        </w:r>
        <w:r>
          <w:rPr>
            <w:noProof/>
            <w:webHidden/>
          </w:rPr>
          <w:fldChar w:fldCharType="begin"/>
        </w:r>
        <w:r>
          <w:rPr>
            <w:noProof/>
            <w:webHidden/>
          </w:rPr>
          <w:instrText xml:space="preserve"> PAGEREF _Toc394493474 \h </w:instrText>
        </w:r>
        <w:r>
          <w:rPr>
            <w:noProof/>
            <w:webHidden/>
          </w:rPr>
        </w:r>
        <w:r>
          <w:rPr>
            <w:noProof/>
            <w:webHidden/>
          </w:rPr>
          <w:fldChar w:fldCharType="separate"/>
        </w:r>
        <w:r>
          <w:rPr>
            <w:noProof/>
            <w:webHidden/>
          </w:rPr>
          <w:t>7</w:t>
        </w:r>
        <w:r>
          <w:rPr>
            <w:noProof/>
            <w:webHidden/>
          </w:rPr>
          <w:fldChar w:fldCharType="end"/>
        </w:r>
      </w:hyperlink>
    </w:p>
    <w:p w14:paraId="24117B01" w14:textId="77777777" w:rsidR="00441B0D" w:rsidRDefault="00441B0D">
      <w:pPr>
        <w:pStyle w:val="TOC2"/>
        <w:tabs>
          <w:tab w:val="right" w:leader="dot" w:pos="9628"/>
        </w:tabs>
        <w:rPr>
          <w:noProof/>
          <w:lang w:val="en-IE" w:eastAsia="en-IE"/>
        </w:rPr>
      </w:pPr>
      <w:hyperlink w:anchor="_Toc394493475" w:history="1">
        <w:r w:rsidRPr="00981A87">
          <w:rPr>
            <w:rStyle w:val="Hyperlink"/>
            <w:noProof/>
          </w:rPr>
          <w:t>2.3 Overall objective &amp; goals</w:t>
        </w:r>
        <w:r>
          <w:rPr>
            <w:noProof/>
            <w:webHidden/>
          </w:rPr>
          <w:tab/>
        </w:r>
        <w:r>
          <w:rPr>
            <w:noProof/>
            <w:webHidden/>
          </w:rPr>
          <w:fldChar w:fldCharType="begin"/>
        </w:r>
        <w:r>
          <w:rPr>
            <w:noProof/>
            <w:webHidden/>
          </w:rPr>
          <w:instrText xml:space="preserve"> PAGEREF _Toc394493475 \h </w:instrText>
        </w:r>
        <w:r>
          <w:rPr>
            <w:noProof/>
            <w:webHidden/>
          </w:rPr>
        </w:r>
        <w:r>
          <w:rPr>
            <w:noProof/>
            <w:webHidden/>
          </w:rPr>
          <w:fldChar w:fldCharType="separate"/>
        </w:r>
        <w:r>
          <w:rPr>
            <w:noProof/>
            <w:webHidden/>
          </w:rPr>
          <w:t>8</w:t>
        </w:r>
        <w:r>
          <w:rPr>
            <w:noProof/>
            <w:webHidden/>
          </w:rPr>
          <w:fldChar w:fldCharType="end"/>
        </w:r>
      </w:hyperlink>
    </w:p>
    <w:p w14:paraId="4DA893EE" w14:textId="77777777" w:rsidR="00441B0D" w:rsidRDefault="00441B0D">
      <w:pPr>
        <w:pStyle w:val="TOC2"/>
        <w:tabs>
          <w:tab w:val="right" w:leader="dot" w:pos="9628"/>
        </w:tabs>
        <w:rPr>
          <w:noProof/>
          <w:lang w:val="en-IE" w:eastAsia="en-IE"/>
        </w:rPr>
      </w:pPr>
      <w:hyperlink w:anchor="_Toc394493476" w:history="1">
        <w:r w:rsidRPr="00981A87">
          <w:rPr>
            <w:rStyle w:val="Hyperlink"/>
            <w:noProof/>
          </w:rPr>
          <w:t>2.4 Values and principles</w:t>
        </w:r>
        <w:r>
          <w:rPr>
            <w:noProof/>
            <w:webHidden/>
          </w:rPr>
          <w:tab/>
        </w:r>
        <w:r>
          <w:rPr>
            <w:noProof/>
            <w:webHidden/>
          </w:rPr>
          <w:fldChar w:fldCharType="begin"/>
        </w:r>
        <w:r>
          <w:rPr>
            <w:noProof/>
            <w:webHidden/>
          </w:rPr>
          <w:instrText xml:space="preserve"> PAGEREF _Toc394493476 \h </w:instrText>
        </w:r>
        <w:r>
          <w:rPr>
            <w:noProof/>
            <w:webHidden/>
          </w:rPr>
        </w:r>
        <w:r>
          <w:rPr>
            <w:noProof/>
            <w:webHidden/>
          </w:rPr>
          <w:fldChar w:fldCharType="separate"/>
        </w:r>
        <w:r>
          <w:rPr>
            <w:noProof/>
            <w:webHidden/>
          </w:rPr>
          <w:t>8</w:t>
        </w:r>
        <w:r>
          <w:rPr>
            <w:noProof/>
            <w:webHidden/>
          </w:rPr>
          <w:fldChar w:fldCharType="end"/>
        </w:r>
      </w:hyperlink>
    </w:p>
    <w:p w14:paraId="573FDEA3" w14:textId="77777777" w:rsidR="00441B0D" w:rsidRDefault="00441B0D">
      <w:pPr>
        <w:pStyle w:val="TOC2"/>
        <w:tabs>
          <w:tab w:val="right" w:leader="dot" w:pos="9628"/>
        </w:tabs>
        <w:rPr>
          <w:noProof/>
          <w:lang w:val="en-IE" w:eastAsia="en-IE"/>
        </w:rPr>
      </w:pPr>
      <w:hyperlink w:anchor="_Toc394493477" w:history="1">
        <w:r w:rsidRPr="00981A87">
          <w:rPr>
            <w:rStyle w:val="Hyperlink"/>
            <w:noProof/>
          </w:rPr>
          <w:t>2.5 Funding &amp; resources</w:t>
        </w:r>
        <w:r>
          <w:rPr>
            <w:noProof/>
            <w:webHidden/>
          </w:rPr>
          <w:tab/>
        </w:r>
        <w:r>
          <w:rPr>
            <w:noProof/>
            <w:webHidden/>
          </w:rPr>
          <w:fldChar w:fldCharType="begin"/>
        </w:r>
        <w:r>
          <w:rPr>
            <w:noProof/>
            <w:webHidden/>
          </w:rPr>
          <w:instrText xml:space="preserve"> PAGEREF _Toc394493477 \h </w:instrText>
        </w:r>
        <w:r>
          <w:rPr>
            <w:noProof/>
            <w:webHidden/>
          </w:rPr>
        </w:r>
        <w:r>
          <w:rPr>
            <w:noProof/>
            <w:webHidden/>
          </w:rPr>
          <w:fldChar w:fldCharType="separate"/>
        </w:r>
        <w:r>
          <w:rPr>
            <w:noProof/>
            <w:webHidden/>
          </w:rPr>
          <w:t>8</w:t>
        </w:r>
        <w:r>
          <w:rPr>
            <w:noProof/>
            <w:webHidden/>
          </w:rPr>
          <w:fldChar w:fldCharType="end"/>
        </w:r>
      </w:hyperlink>
    </w:p>
    <w:p w14:paraId="484CF080" w14:textId="77777777" w:rsidR="00441B0D" w:rsidRDefault="00441B0D">
      <w:pPr>
        <w:pStyle w:val="TOC2"/>
        <w:tabs>
          <w:tab w:val="right" w:leader="dot" w:pos="9628"/>
        </w:tabs>
        <w:rPr>
          <w:noProof/>
          <w:lang w:val="en-IE" w:eastAsia="en-IE"/>
        </w:rPr>
      </w:pPr>
      <w:hyperlink w:anchor="_Toc394493478" w:history="1">
        <w:r w:rsidRPr="00981A87">
          <w:rPr>
            <w:rStyle w:val="Hyperlink"/>
            <w:noProof/>
          </w:rPr>
          <w:t>2.6 Project governance and management</w:t>
        </w:r>
        <w:r>
          <w:rPr>
            <w:noProof/>
            <w:webHidden/>
          </w:rPr>
          <w:tab/>
        </w:r>
        <w:r>
          <w:rPr>
            <w:noProof/>
            <w:webHidden/>
          </w:rPr>
          <w:fldChar w:fldCharType="begin"/>
        </w:r>
        <w:r>
          <w:rPr>
            <w:noProof/>
            <w:webHidden/>
          </w:rPr>
          <w:instrText xml:space="preserve"> PAGEREF _Toc394493478 \h </w:instrText>
        </w:r>
        <w:r>
          <w:rPr>
            <w:noProof/>
            <w:webHidden/>
          </w:rPr>
        </w:r>
        <w:r>
          <w:rPr>
            <w:noProof/>
            <w:webHidden/>
          </w:rPr>
          <w:fldChar w:fldCharType="separate"/>
        </w:r>
        <w:r>
          <w:rPr>
            <w:noProof/>
            <w:webHidden/>
          </w:rPr>
          <w:t>9</w:t>
        </w:r>
        <w:r>
          <w:rPr>
            <w:noProof/>
            <w:webHidden/>
          </w:rPr>
          <w:fldChar w:fldCharType="end"/>
        </w:r>
      </w:hyperlink>
    </w:p>
    <w:p w14:paraId="4AB33DCF" w14:textId="77777777" w:rsidR="00441B0D" w:rsidRDefault="00441B0D">
      <w:pPr>
        <w:pStyle w:val="TOC2"/>
        <w:tabs>
          <w:tab w:val="right" w:leader="dot" w:pos="9628"/>
        </w:tabs>
        <w:rPr>
          <w:noProof/>
          <w:lang w:val="en-IE" w:eastAsia="en-IE"/>
        </w:rPr>
      </w:pPr>
      <w:hyperlink w:anchor="_Toc394493479" w:history="1">
        <w:r w:rsidRPr="00981A87">
          <w:rPr>
            <w:rStyle w:val="Hyperlink"/>
            <w:noProof/>
          </w:rPr>
          <w:t>2.7 Project activities</w:t>
        </w:r>
        <w:r>
          <w:rPr>
            <w:noProof/>
            <w:webHidden/>
          </w:rPr>
          <w:tab/>
        </w:r>
        <w:r>
          <w:rPr>
            <w:noProof/>
            <w:webHidden/>
          </w:rPr>
          <w:fldChar w:fldCharType="begin"/>
        </w:r>
        <w:r>
          <w:rPr>
            <w:noProof/>
            <w:webHidden/>
          </w:rPr>
          <w:instrText xml:space="preserve"> PAGEREF _Toc394493479 \h </w:instrText>
        </w:r>
        <w:r>
          <w:rPr>
            <w:noProof/>
            <w:webHidden/>
          </w:rPr>
        </w:r>
        <w:r>
          <w:rPr>
            <w:noProof/>
            <w:webHidden/>
          </w:rPr>
          <w:fldChar w:fldCharType="separate"/>
        </w:r>
        <w:r>
          <w:rPr>
            <w:noProof/>
            <w:webHidden/>
          </w:rPr>
          <w:t>9</w:t>
        </w:r>
        <w:r>
          <w:rPr>
            <w:noProof/>
            <w:webHidden/>
          </w:rPr>
          <w:fldChar w:fldCharType="end"/>
        </w:r>
      </w:hyperlink>
    </w:p>
    <w:p w14:paraId="595709D6" w14:textId="77777777" w:rsidR="00441B0D" w:rsidRDefault="00441B0D">
      <w:pPr>
        <w:pStyle w:val="TOC2"/>
        <w:tabs>
          <w:tab w:val="right" w:leader="dot" w:pos="9628"/>
        </w:tabs>
        <w:rPr>
          <w:noProof/>
          <w:lang w:val="en-IE" w:eastAsia="en-IE"/>
        </w:rPr>
      </w:pPr>
      <w:hyperlink w:anchor="_Toc394493480" w:history="1">
        <w:r w:rsidRPr="00981A87">
          <w:rPr>
            <w:rStyle w:val="Hyperlink"/>
            <w:noProof/>
          </w:rPr>
          <w:t>2.8 Project timeline</w:t>
        </w:r>
        <w:r>
          <w:rPr>
            <w:noProof/>
            <w:webHidden/>
          </w:rPr>
          <w:tab/>
        </w:r>
        <w:r>
          <w:rPr>
            <w:noProof/>
            <w:webHidden/>
          </w:rPr>
          <w:fldChar w:fldCharType="begin"/>
        </w:r>
        <w:r>
          <w:rPr>
            <w:noProof/>
            <w:webHidden/>
          </w:rPr>
          <w:instrText xml:space="preserve"> PAGEREF _Toc394493480 \h </w:instrText>
        </w:r>
        <w:r>
          <w:rPr>
            <w:noProof/>
            <w:webHidden/>
          </w:rPr>
        </w:r>
        <w:r>
          <w:rPr>
            <w:noProof/>
            <w:webHidden/>
          </w:rPr>
          <w:fldChar w:fldCharType="separate"/>
        </w:r>
        <w:r>
          <w:rPr>
            <w:noProof/>
            <w:webHidden/>
          </w:rPr>
          <w:t>10</w:t>
        </w:r>
        <w:r>
          <w:rPr>
            <w:noProof/>
            <w:webHidden/>
          </w:rPr>
          <w:fldChar w:fldCharType="end"/>
        </w:r>
      </w:hyperlink>
    </w:p>
    <w:p w14:paraId="7B213633" w14:textId="77777777" w:rsidR="00441B0D" w:rsidRDefault="00441B0D">
      <w:pPr>
        <w:pStyle w:val="TOC2"/>
        <w:tabs>
          <w:tab w:val="right" w:leader="dot" w:pos="9628"/>
        </w:tabs>
        <w:rPr>
          <w:noProof/>
          <w:lang w:val="en-IE" w:eastAsia="en-IE"/>
        </w:rPr>
      </w:pPr>
      <w:hyperlink w:anchor="_Toc394493481" w:history="1">
        <w:r w:rsidRPr="00981A87">
          <w:rPr>
            <w:rStyle w:val="Hyperlink"/>
            <w:noProof/>
          </w:rPr>
          <w:t>2.9 Outputs and events</w:t>
        </w:r>
        <w:r>
          <w:rPr>
            <w:noProof/>
            <w:webHidden/>
          </w:rPr>
          <w:tab/>
        </w:r>
        <w:r>
          <w:rPr>
            <w:noProof/>
            <w:webHidden/>
          </w:rPr>
          <w:fldChar w:fldCharType="begin"/>
        </w:r>
        <w:r>
          <w:rPr>
            <w:noProof/>
            <w:webHidden/>
          </w:rPr>
          <w:instrText xml:space="preserve"> PAGEREF _Toc394493481 \h </w:instrText>
        </w:r>
        <w:r>
          <w:rPr>
            <w:noProof/>
            <w:webHidden/>
          </w:rPr>
        </w:r>
        <w:r>
          <w:rPr>
            <w:noProof/>
            <w:webHidden/>
          </w:rPr>
          <w:fldChar w:fldCharType="separate"/>
        </w:r>
        <w:r>
          <w:rPr>
            <w:noProof/>
            <w:webHidden/>
          </w:rPr>
          <w:t>12</w:t>
        </w:r>
        <w:r>
          <w:rPr>
            <w:noProof/>
            <w:webHidden/>
          </w:rPr>
          <w:fldChar w:fldCharType="end"/>
        </w:r>
      </w:hyperlink>
    </w:p>
    <w:p w14:paraId="44292C1A" w14:textId="77777777" w:rsidR="00441B0D" w:rsidRDefault="00441B0D">
      <w:pPr>
        <w:pStyle w:val="TOC2"/>
        <w:tabs>
          <w:tab w:val="right" w:leader="dot" w:pos="9628"/>
        </w:tabs>
        <w:rPr>
          <w:noProof/>
          <w:lang w:val="en-IE" w:eastAsia="en-IE"/>
        </w:rPr>
      </w:pPr>
      <w:hyperlink w:anchor="_Toc394493482" w:history="1">
        <w:r w:rsidRPr="00981A87">
          <w:rPr>
            <w:rStyle w:val="Hyperlink"/>
            <w:noProof/>
          </w:rPr>
          <w:t>2.10 Communications</w:t>
        </w:r>
        <w:r>
          <w:rPr>
            <w:noProof/>
            <w:webHidden/>
          </w:rPr>
          <w:tab/>
        </w:r>
        <w:r>
          <w:rPr>
            <w:noProof/>
            <w:webHidden/>
          </w:rPr>
          <w:fldChar w:fldCharType="begin"/>
        </w:r>
        <w:r>
          <w:rPr>
            <w:noProof/>
            <w:webHidden/>
          </w:rPr>
          <w:instrText xml:space="preserve"> PAGEREF _Toc394493482 \h </w:instrText>
        </w:r>
        <w:r>
          <w:rPr>
            <w:noProof/>
            <w:webHidden/>
          </w:rPr>
        </w:r>
        <w:r>
          <w:rPr>
            <w:noProof/>
            <w:webHidden/>
          </w:rPr>
          <w:fldChar w:fldCharType="separate"/>
        </w:r>
        <w:r>
          <w:rPr>
            <w:noProof/>
            <w:webHidden/>
          </w:rPr>
          <w:t>15</w:t>
        </w:r>
        <w:r>
          <w:rPr>
            <w:noProof/>
            <w:webHidden/>
          </w:rPr>
          <w:fldChar w:fldCharType="end"/>
        </w:r>
      </w:hyperlink>
    </w:p>
    <w:p w14:paraId="7A8DB8BC" w14:textId="77777777" w:rsidR="00441B0D" w:rsidRDefault="00441B0D">
      <w:pPr>
        <w:pStyle w:val="TOC2"/>
        <w:tabs>
          <w:tab w:val="right" w:leader="dot" w:pos="9628"/>
        </w:tabs>
        <w:rPr>
          <w:noProof/>
          <w:lang w:val="en-IE" w:eastAsia="en-IE"/>
        </w:rPr>
      </w:pPr>
      <w:hyperlink w:anchor="_Toc394493483" w:history="1">
        <w:r w:rsidRPr="00981A87">
          <w:rPr>
            <w:rStyle w:val="Hyperlink"/>
            <w:noProof/>
          </w:rPr>
          <w:t>2.11 Engagements with stakeholder groups</w:t>
        </w:r>
        <w:r>
          <w:rPr>
            <w:noProof/>
            <w:webHidden/>
          </w:rPr>
          <w:tab/>
        </w:r>
        <w:r>
          <w:rPr>
            <w:noProof/>
            <w:webHidden/>
          </w:rPr>
          <w:fldChar w:fldCharType="begin"/>
        </w:r>
        <w:r>
          <w:rPr>
            <w:noProof/>
            <w:webHidden/>
          </w:rPr>
          <w:instrText xml:space="preserve"> PAGEREF _Toc394493483 \h </w:instrText>
        </w:r>
        <w:r>
          <w:rPr>
            <w:noProof/>
            <w:webHidden/>
          </w:rPr>
        </w:r>
        <w:r>
          <w:rPr>
            <w:noProof/>
            <w:webHidden/>
          </w:rPr>
          <w:fldChar w:fldCharType="separate"/>
        </w:r>
        <w:r>
          <w:rPr>
            <w:noProof/>
            <w:webHidden/>
          </w:rPr>
          <w:t>15</w:t>
        </w:r>
        <w:r>
          <w:rPr>
            <w:noProof/>
            <w:webHidden/>
          </w:rPr>
          <w:fldChar w:fldCharType="end"/>
        </w:r>
      </w:hyperlink>
    </w:p>
    <w:p w14:paraId="29F4F597" w14:textId="77777777" w:rsidR="00441B0D" w:rsidRDefault="00441B0D">
      <w:pPr>
        <w:pStyle w:val="TOC2"/>
        <w:tabs>
          <w:tab w:val="right" w:leader="dot" w:pos="9628"/>
        </w:tabs>
        <w:rPr>
          <w:noProof/>
          <w:lang w:val="en-IE" w:eastAsia="en-IE"/>
        </w:rPr>
      </w:pPr>
      <w:hyperlink w:anchor="_Toc394493484" w:history="1">
        <w:r w:rsidRPr="00981A87">
          <w:rPr>
            <w:rStyle w:val="Hyperlink"/>
            <w:noProof/>
          </w:rPr>
          <w:t>2.12 Evaluation</w:t>
        </w:r>
        <w:r>
          <w:rPr>
            <w:noProof/>
            <w:webHidden/>
          </w:rPr>
          <w:tab/>
        </w:r>
        <w:r>
          <w:rPr>
            <w:noProof/>
            <w:webHidden/>
          </w:rPr>
          <w:fldChar w:fldCharType="begin"/>
        </w:r>
        <w:r>
          <w:rPr>
            <w:noProof/>
            <w:webHidden/>
          </w:rPr>
          <w:instrText xml:space="preserve"> PAGEREF _Toc394493484 \h </w:instrText>
        </w:r>
        <w:r>
          <w:rPr>
            <w:noProof/>
            <w:webHidden/>
          </w:rPr>
        </w:r>
        <w:r>
          <w:rPr>
            <w:noProof/>
            <w:webHidden/>
          </w:rPr>
          <w:fldChar w:fldCharType="separate"/>
        </w:r>
        <w:r>
          <w:rPr>
            <w:noProof/>
            <w:webHidden/>
          </w:rPr>
          <w:t>17</w:t>
        </w:r>
        <w:r>
          <w:rPr>
            <w:noProof/>
            <w:webHidden/>
          </w:rPr>
          <w:fldChar w:fldCharType="end"/>
        </w:r>
      </w:hyperlink>
    </w:p>
    <w:p w14:paraId="357E6DE9" w14:textId="77777777" w:rsidR="00441B0D" w:rsidRDefault="00441B0D">
      <w:pPr>
        <w:pStyle w:val="TOC2"/>
        <w:tabs>
          <w:tab w:val="right" w:leader="dot" w:pos="9628"/>
        </w:tabs>
        <w:rPr>
          <w:noProof/>
          <w:lang w:val="en-IE" w:eastAsia="en-IE"/>
        </w:rPr>
      </w:pPr>
      <w:hyperlink w:anchor="_Toc394493485" w:history="1">
        <w:r w:rsidRPr="00981A87">
          <w:rPr>
            <w:rStyle w:val="Hyperlink"/>
            <w:noProof/>
          </w:rPr>
          <w:t>2.13 Self reflection</w:t>
        </w:r>
        <w:r>
          <w:rPr>
            <w:noProof/>
            <w:webHidden/>
          </w:rPr>
          <w:tab/>
        </w:r>
        <w:r>
          <w:rPr>
            <w:noProof/>
            <w:webHidden/>
          </w:rPr>
          <w:fldChar w:fldCharType="begin"/>
        </w:r>
        <w:r>
          <w:rPr>
            <w:noProof/>
            <w:webHidden/>
          </w:rPr>
          <w:instrText xml:space="preserve"> PAGEREF _Toc394493485 \h </w:instrText>
        </w:r>
        <w:r>
          <w:rPr>
            <w:noProof/>
            <w:webHidden/>
          </w:rPr>
        </w:r>
        <w:r>
          <w:rPr>
            <w:noProof/>
            <w:webHidden/>
          </w:rPr>
          <w:fldChar w:fldCharType="separate"/>
        </w:r>
        <w:r>
          <w:rPr>
            <w:noProof/>
            <w:webHidden/>
          </w:rPr>
          <w:t>17</w:t>
        </w:r>
        <w:r>
          <w:rPr>
            <w:noProof/>
            <w:webHidden/>
          </w:rPr>
          <w:fldChar w:fldCharType="end"/>
        </w:r>
      </w:hyperlink>
    </w:p>
    <w:p w14:paraId="4E4B4522" w14:textId="77777777" w:rsidR="00441B0D" w:rsidRDefault="00441B0D">
      <w:pPr>
        <w:pStyle w:val="TOC2"/>
        <w:tabs>
          <w:tab w:val="right" w:leader="dot" w:pos="9628"/>
        </w:tabs>
        <w:rPr>
          <w:noProof/>
          <w:lang w:val="en-IE" w:eastAsia="en-IE"/>
        </w:rPr>
      </w:pPr>
      <w:hyperlink w:anchor="_Toc394493486" w:history="1">
        <w:r w:rsidRPr="00981A87">
          <w:rPr>
            <w:rStyle w:val="Hyperlink"/>
            <w:noProof/>
          </w:rPr>
          <w:t>2.14 In Summary</w:t>
        </w:r>
        <w:r>
          <w:rPr>
            <w:noProof/>
            <w:webHidden/>
          </w:rPr>
          <w:tab/>
        </w:r>
        <w:r>
          <w:rPr>
            <w:noProof/>
            <w:webHidden/>
          </w:rPr>
          <w:fldChar w:fldCharType="begin"/>
        </w:r>
        <w:r>
          <w:rPr>
            <w:noProof/>
            <w:webHidden/>
          </w:rPr>
          <w:instrText xml:space="preserve"> PAGEREF _Toc394493486 \h </w:instrText>
        </w:r>
        <w:r>
          <w:rPr>
            <w:noProof/>
            <w:webHidden/>
          </w:rPr>
        </w:r>
        <w:r>
          <w:rPr>
            <w:noProof/>
            <w:webHidden/>
          </w:rPr>
          <w:fldChar w:fldCharType="separate"/>
        </w:r>
        <w:r>
          <w:rPr>
            <w:noProof/>
            <w:webHidden/>
          </w:rPr>
          <w:t>18</w:t>
        </w:r>
        <w:r>
          <w:rPr>
            <w:noProof/>
            <w:webHidden/>
          </w:rPr>
          <w:fldChar w:fldCharType="end"/>
        </w:r>
      </w:hyperlink>
    </w:p>
    <w:p w14:paraId="38A7F9C0" w14:textId="77777777" w:rsidR="00441B0D" w:rsidRDefault="00441B0D">
      <w:pPr>
        <w:pStyle w:val="TOC1"/>
        <w:tabs>
          <w:tab w:val="left" w:pos="440"/>
          <w:tab w:val="right" w:leader="dot" w:pos="9628"/>
        </w:tabs>
        <w:rPr>
          <w:noProof/>
          <w:lang w:val="en-IE" w:eastAsia="en-IE"/>
        </w:rPr>
      </w:pPr>
      <w:hyperlink w:anchor="_Toc394493487" w:history="1">
        <w:r w:rsidRPr="00981A87">
          <w:rPr>
            <w:rStyle w:val="Hyperlink"/>
            <w:noProof/>
          </w:rPr>
          <w:t>3</w:t>
        </w:r>
        <w:r>
          <w:rPr>
            <w:noProof/>
            <w:lang w:val="en-IE" w:eastAsia="en-IE"/>
          </w:rPr>
          <w:tab/>
        </w:r>
        <w:r w:rsidRPr="00981A87">
          <w:rPr>
            <w:rStyle w:val="Hyperlink"/>
            <w:noProof/>
          </w:rPr>
          <w:t>Who does social justice advocacy and what was going on in social justice advocacy (2010-2014)?</w:t>
        </w:r>
        <w:r>
          <w:rPr>
            <w:noProof/>
            <w:webHidden/>
          </w:rPr>
          <w:tab/>
        </w:r>
        <w:r>
          <w:rPr>
            <w:noProof/>
            <w:webHidden/>
          </w:rPr>
          <w:fldChar w:fldCharType="begin"/>
        </w:r>
        <w:r>
          <w:rPr>
            <w:noProof/>
            <w:webHidden/>
          </w:rPr>
          <w:instrText xml:space="preserve"> PAGEREF _Toc394493487 \h </w:instrText>
        </w:r>
        <w:r>
          <w:rPr>
            <w:noProof/>
            <w:webHidden/>
          </w:rPr>
        </w:r>
        <w:r>
          <w:rPr>
            <w:noProof/>
            <w:webHidden/>
          </w:rPr>
          <w:fldChar w:fldCharType="separate"/>
        </w:r>
        <w:r>
          <w:rPr>
            <w:noProof/>
            <w:webHidden/>
          </w:rPr>
          <w:t>19</w:t>
        </w:r>
        <w:r>
          <w:rPr>
            <w:noProof/>
            <w:webHidden/>
          </w:rPr>
          <w:fldChar w:fldCharType="end"/>
        </w:r>
      </w:hyperlink>
    </w:p>
    <w:p w14:paraId="1F2510C5" w14:textId="77777777" w:rsidR="00441B0D" w:rsidRDefault="00441B0D">
      <w:pPr>
        <w:pStyle w:val="TOC2"/>
        <w:tabs>
          <w:tab w:val="left" w:pos="880"/>
          <w:tab w:val="right" w:leader="dot" w:pos="9628"/>
        </w:tabs>
        <w:rPr>
          <w:noProof/>
          <w:lang w:val="en-IE" w:eastAsia="en-IE"/>
        </w:rPr>
      </w:pPr>
      <w:hyperlink w:anchor="_Toc394493488" w:history="1">
        <w:r w:rsidRPr="00981A87">
          <w:rPr>
            <w:rStyle w:val="Hyperlink"/>
            <w:noProof/>
          </w:rPr>
          <w:t>3.1</w:t>
        </w:r>
        <w:r>
          <w:rPr>
            <w:noProof/>
            <w:lang w:val="en-IE" w:eastAsia="en-IE"/>
          </w:rPr>
          <w:tab/>
        </w:r>
        <w:r w:rsidRPr="00981A87">
          <w:rPr>
            <w:rStyle w:val="Hyperlink"/>
            <w:noProof/>
          </w:rPr>
          <w:t>Introduction</w:t>
        </w:r>
        <w:r>
          <w:rPr>
            <w:noProof/>
            <w:webHidden/>
          </w:rPr>
          <w:tab/>
        </w:r>
        <w:r>
          <w:rPr>
            <w:noProof/>
            <w:webHidden/>
          </w:rPr>
          <w:fldChar w:fldCharType="begin"/>
        </w:r>
        <w:r>
          <w:rPr>
            <w:noProof/>
            <w:webHidden/>
          </w:rPr>
          <w:instrText xml:space="preserve"> PAGEREF _Toc394493488 \h </w:instrText>
        </w:r>
        <w:r>
          <w:rPr>
            <w:noProof/>
            <w:webHidden/>
          </w:rPr>
        </w:r>
        <w:r>
          <w:rPr>
            <w:noProof/>
            <w:webHidden/>
          </w:rPr>
          <w:fldChar w:fldCharType="separate"/>
        </w:r>
        <w:r>
          <w:rPr>
            <w:noProof/>
            <w:webHidden/>
          </w:rPr>
          <w:t>19</w:t>
        </w:r>
        <w:r>
          <w:rPr>
            <w:noProof/>
            <w:webHidden/>
          </w:rPr>
          <w:fldChar w:fldCharType="end"/>
        </w:r>
      </w:hyperlink>
    </w:p>
    <w:p w14:paraId="6C011D1F" w14:textId="77777777" w:rsidR="00441B0D" w:rsidRDefault="00441B0D">
      <w:pPr>
        <w:pStyle w:val="TOC2"/>
        <w:tabs>
          <w:tab w:val="left" w:pos="880"/>
          <w:tab w:val="right" w:leader="dot" w:pos="9628"/>
        </w:tabs>
        <w:rPr>
          <w:noProof/>
          <w:lang w:val="en-IE" w:eastAsia="en-IE"/>
        </w:rPr>
      </w:pPr>
      <w:hyperlink w:anchor="_Toc394493489" w:history="1">
        <w:r w:rsidRPr="00981A87">
          <w:rPr>
            <w:rStyle w:val="Hyperlink"/>
            <w:noProof/>
          </w:rPr>
          <w:t>3.2</w:t>
        </w:r>
        <w:r>
          <w:rPr>
            <w:noProof/>
            <w:lang w:val="en-IE" w:eastAsia="en-IE"/>
          </w:rPr>
          <w:tab/>
        </w:r>
        <w:r w:rsidRPr="00981A87">
          <w:rPr>
            <w:rStyle w:val="Hyperlink"/>
            <w:noProof/>
          </w:rPr>
          <w:t>The nature and extent of social justice advocacy work undertaken</w:t>
        </w:r>
        <w:r>
          <w:rPr>
            <w:noProof/>
            <w:webHidden/>
          </w:rPr>
          <w:tab/>
        </w:r>
        <w:r>
          <w:rPr>
            <w:noProof/>
            <w:webHidden/>
          </w:rPr>
          <w:fldChar w:fldCharType="begin"/>
        </w:r>
        <w:r>
          <w:rPr>
            <w:noProof/>
            <w:webHidden/>
          </w:rPr>
          <w:instrText xml:space="preserve"> PAGEREF _Toc394493489 \h </w:instrText>
        </w:r>
        <w:r>
          <w:rPr>
            <w:noProof/>
            <w:webHidden/>
          </w:rPr>
        </w:r>
        <w:r>
          <w:rPr>
            <w:noProof/>
            <w:webHidden/>
          </w:rPr>
          <w:fldChar w:fldCharType="separate"/>
        </w:r>
        <w:r>
          <w:rPr>
            <w:noProof/>
            <w:webHidden/>
          </w:rPr>
          <w:t>19</w:t>
        </w:r>
        <w:r>
          <w:rPr>
            <w:noProof/>
            <w:webHidden/>
          </w:rPr>
          <w:fldChar w:fldCharType="end"/>
        </w:r>
      </w:hyperlink>
    </w:p>
    <w:p w14:paraId="01C71A03" w14:textId="77777777" w:rsidR="00441B0D" w:rsidRDefault="00441B0D">
      <w:pPr>
        <w:pStyle w:val="TOC2"/>
        <w:tabs>
          <w:tab w:val="left" w:pos="880"/>
          <w:tab w:val="right" w:leader="dot" w:pos="9628"/>
        </w:tabs>
        <w:rPr>
          <w:noProof/>
          <w:lang w:val="en-IE" w:eastAsia="en-IE"/>
        </w:rPr>
      </w:pPr>
      <w:hyperlink w:anchor="_Toc394493490" w:history="1">
        <w:r w:rsidRPr="00981A87">
          <w:rPr>
            <w:rStyle w:val="Hyperlink"/>
            <w:noProof/>
          </w:rPr>
          <w:t>3.3</w:t>
        </w:r>
        <w:r>
          <w:rPr>
            <w:noProof/>
            <w:lang w:val="en-IE" w:eastAsia="en-IE"/>
          </w:rPr>
          <w:tab/>
        </w:r>
        <w:r w:rsidRPr="00981A87">
          <w:rPr>
            <w:rStyle w:val="Hyperlink"/>
            <w:noProof/>
          </w:rPr>
          <w:t>Relationships between the sector and the state</w:t>
        </w:r>
        <w:r>
          <w:rPr>
            <w:noProof/>
            <w:webHidden/>
          </w:rPr>
          <w:tab/>
        </w:r>
        <w:r>
          <w:rPr>
            <w:noProof/>
            <w:webHidden/>
          </w:rPr>
          <w:fldChar w:fldCharType="begin"/>
        </w:r>
        <w:r>
          <w:rPr>
            <w:noProof/>
            <w:webHidden/>
          </w:rPr>
          <w:instrText xml:space="preserve"> PAGEREF _Toc394493490 \h </w:instrText>
        </w:r>
        <w:r>
          <w:rPr>
            <w:noProof/>
            <w:webHidden/>
          </w:rPr>
        </w:r>
        <w:r>
          <w:rPr>
            <w:noProof/>
            <w:webHidden/>
          </w:rPr>
          <w:fldChar w:fldCharType="separate"/>
        </w:r>
        <w:r>
          <w:rPr>
            <w:noProof/>
            <w:webHidden/>
          </w:rPr>
          <w:t>20</w:t>
        </w:r>
        <w:r>
          <w:rPr>
            <w:noProof/>
            <w:webHidden/>
          </w:rPr>
          <w:fldChar w:fldCharType="end"/>
        </w:r>
      </w:hyperlink>
    </w:p>
    <w:p w14:paraId="4E3DA05C" w14:textId="77777777" w:rsidR="00441B0D" w:rsidRDefault="00441B0D">
      <w:pPr>
        <w:pStyle w:val="TOC2"/>
        <w:tabs>
          <w:tab w:val="left" w:pos="880"/>
          <w:tab w:val="right" w:leader="dot" w:pos="9628"/>
        </w:tabs>
        <w:rPr>
          <w:noProof/>
          <w:lang w:val="en-IE" w:eastAsia="en-IE"/>
        </w:rPr>
      </w:pPr>
      <w:hyperlink w:anchor="_Toc394493491" w:history="1">
        <w:r w:rsidRPr="00981A87">
          <w:rPr>
            <w:rStyle w:val="Hyperlink"/>
            <w:noProof/>
          </w:rPr>
          <w:t>3.4</w:t>
        </w:r>
        <w:r>
          <w:rPr>
            <w:noProof/>
            <w:lang w:val="en-IE" w:eastAsia="en-IE"/>
          </w:rPr>
          <w:tab/>
        </w:r>
        <w:r w:rsidRPr="00981A87">
          <w:rPr>
            <w:rStyle w:val="Hyperlink"/>
            <w:noProof/>
          </w:rPr>
          <w:t>Relations with others (including the media &amp; trade unions)</w:t>
        </w:r>
        <w:r>
          <w:rPr>
            <w:noProof/>
            <w:webHidden/>
          </w:rPr>
          <w:tab/>
        </w:r>
        <w:r>
          <w:rPr>
            <w:noProof/>
            <w:webHidden/>
          </w:rPr>
          <w:fldChar w:fldCharType="begin"/>
        </w:r>
        <w:r>
          <w:rPr>
            <w:noProof/>
            <w:webHidden/>
          </w:rPr>
          <w:instrText xml:space="preserve"> PAGEREF _Toc394493491 \h </w:instrText>
        </w:r>
        <w:r>
          <w:rPr>
            <w:noProof/>
            <w:webHidden/>
          </w:rPr>
        </w:r>
        <w:r>
          <w:rPr>
            <w:noProof/>
            <w:webHidden/>
          </w:rPr>
          <w:fldChar w:fldCharType="separate"/>
        </w:r>
        <w:r>
          <w:rPr>
            <w:noProof/>
            <w:webHidden/>
          </w:rPr>
          <w:t>21</w:t>
        </w:r>
        <w:r>
          <w:rPr>
            <w:noProof/>
            <w:webHidden/>
          </w:rPr>
          <w:fldChar w:fldCharType="end"/>
        </w:r>
      </w:hyperlink>
    </w:p>
    <w:p w14:paraId="2D3DB6E7" w14:textId="77777777" w:rsidR="00441B0D" w:rsidRDefault="00441B0D">
      <w:pPr>
        <w:pStyle w:val="TOC2"/>
        <w:tabs>
          <w:tab w:val="left" w:pos="880"/>
          <w:tab w:val="right" w:leader="dot" w:pos="9628"/>
        </w:tabs>
        <w:rPr>
          <w:noProof/>
          <w:lang w:val="en-IE" w:eastAsia="en-IE"/>
        </w:rPr>
      </w:pPr>
      <w:hyperlink w:anchor="_Toc394493492" w:history="1">
        <w:r w:rsidRPr="00981A87">
          <w:rPr>
            <w:rStyle w:val="Hyperlink"/>
            <w:noProof/>
          </w:rPr>
          <w:t>3.5</w:t>
        </w:r>
        <w:r>
          <w:rPr>
            <w:noProof/>
            <w:lang w:val="en-IE" w:eastAsia="en-IE"/>
          </w:rPr>
          <w:tab/>
        </w:r>
        <w:r w:rsidRPr="00981A87">
          <w:rPr>
            <w:rStyle w:val="Hyperlink"/>
            <w:noProof/>
          </w:rPr>
          <w:t>In Summary</w:t>
        </w:r>
        <w:r>
          <w:rPr>
            <w:noProof/>
            <w:webHidden/>
          </w:rPr>
          <w:tab/>
        </w:r>
        <w:r>
          <w:rPr>
            <w:noProof/>
            <w:webHidden/>
          </w:rPr>
          <w:fldChar w:fldCharType="begin"/>
        </w:r>
        <w:r>
          <w:rPr>
            <w:noProof/>
            <w:webHidden/>
          </w:rPr>
          <w:instrText xml:space="preserve"> PAGEREF _Toc394493492 \h </w:instrText>
        </w:r>
        <w:r>
          <w:rPr>
            <w:noProof/>
            <w:webHidden/>
          </w:rPr>
        </w:r>
        <w:r>
          <w:rPr>
            <w:noProof/>
            <w:webHidden/>
          </w:rPr>
          <w:fldChar w:fldCharType="separate"/>
        </w:r>
        <w:r>
          <w:rPr>
            <w:noProof/>
            <w:webHidden/>
          </w:rPr>
          <w:t>22</w:t>
        </w:r>
        <w:r>
          <w:rPr>
            <w:noProof/>
            <w:webHidden/>
          </w:rPr>
          <w:fldChar w:fldCharType="end"/>
        </w:r>
      </w:hyperlink>
    </w:p>
    <w:p w14:paraId="339E7F5B" w14:textId="77777777" w:rsidR="00441B0D" w:rsidRDefault="00441B0D">
      <w:pPr>
        <w:pStyle w:val="TOC1"/>
        <w:tabs>
          <w:tab w:val="left" w:pos="440"/>
          <w:tab w:val="right" w:leader="dot" w:pos="9628"/>
        </w:tabs>
        <w:rPr>
          <w:noProof/>
          <w:lang w:val="en-IE" w:eastAsia="en-IE"/>
        </w:rPr>
      </w:pPr>
      <w:hyperlink w:anchor="_Toc394493493" w:history="1">
        <w:r w:rsidRPr="00981A87">
          <w:rPr>
            <w:rStyle w:val="Hyperlink"/>
            <w:noProof/>
          </w:rPr>
          <w:t>4</w:t>
        </w:r>
        <w:r>
          <w:rPr>
            <w:noProof/>
            <w:lang w:val="en-IE" w:eastAsia="en-IE"/>
          </w:rPr>
          <w:tab/>
        </w:r>
        <w:r w:rsidRPr="00981A87">
          <w:rPr>
            <w:rStyle w:val="Hyperlink"/>
            <w:noProof/>
          </w:rPr>
          <w:t>What was the learning?</w:t>
        </w:r>
        <w:r>
          <w:rPr>
            <w:noProof/>
            <w:webHidden/>
          </w:rPr>
          <w:tab/>
        </w:r>
        <w:r>
          <w:rPr>
            <w:noProof/>
            <w:webHidden/>
          </w:rPr>
          <w:fldChar w:fldCharType="begin"/>
        </w:r>
        <w:r>
          <w:rPr>
            <w:noProof/>
            <w:webHidden/>
          </w:rPr>
          <w:instrText xml:space="preserve"> PAGEREF _Toc394493493 \h </w:instrText>
        </w:r>
        <w:r>
          <w:rPr>
            <w:noProof/>
            <w:webHidden/>
          </w:rPr>
        </w:r>
        <w:r>
          <w:rPr>
            <w:noProof/>
            <w:webHidden/>
          </w:rPr>
          <w:fldChar w:fldCharType="separate"/>
        </w:r>
        <w:r>
          <w:rPr>
            <w:noProof/>
            <w:webHidden/>
          </w:rPr>
          <w:t>23</w:t>
        </w:r>
        <w:r>
          <w:rPr>
            <w:noProof/>
            <w:webHidden/>
          </w:rPr>
          <w:fldChar w:fldCharType="end"/>
        </w:r>
      </w:hyperlink>
    </w:p>
    <w:p w14:paraId="62888BD1" w14:textId="77777777" w:rsidR="00441B0D" w:rsidRDefault="00441B0D">
      <w:pPr>
        <w:pStyle w:val="TOC2"/>
        <w:tabs>
          <w:tab w:val="left" w:pos="880"/>
          <w:tab w:val="right" w:leader="dot" w:pos="9628"/>
        </w:tabs>
        <w:rPr>
          <w:noProof/>
          <w:lang w:val="en-IE" w:eastAsia="en-IE"/>
        </w:rPr>
      </w:pPr>
      <w:hyperlink w:anchor="_Toc394493494" w:history="1">
        <w:r w:rsidRPr="00981A87">
          <w:rPr>
            <w:rStyle w:val="Hyperlink"/>
            <w:noProof/>
          </w:rPr>
          <w:t>4.1</w:t>
        </w:r>
        <w:r>
          <w:rPr>
            <w:noProof/>
            <w:lang w:val="en-IE" w:eastAsia="en-IE"/>
          </w:rPr>
          <w:tab/>
        </w:r>
        <w:r w:rsidRPr="00981A87">
          <w:rPr>
            <w:rStyle w:val="Hyperlink"/>
            <w:noProof/>
          </w:rPr>
          <w:t>Introduction</w:t>
        </w:r>
        <w:r>
          <w:rPr>
            <w:noProof/>
            <w:webHidden/>
          </w:rPr>
          <w:tab/>
        </w:r>
        <w:r>
          <w:rPr>
            <w:noProof/>
            <w:webHidden/>
          </w:rPr>
          <w:fldChar w:fldCharType="begin"/>
        </w:r>
        <w:r>
          <w:rPr>
            <w:noProof/>
            <w:webHidden/>
          </w:rPr>
          <w:instrText xml:space="preserve"> PAGEREF _Toc394493494 \h </w:instrText>
        </w:r>
        <w:r>
          <w:rPr>
            <w:noProof/>
            <w:webHidden/>
          </w:rPr>
        </w:r>
        <w:r>
          <w:rPr>
            <w:noProof/>
            <w:webHidden/>
          </w:rPr>
          <w:fldChar w:fldCharType="separate"/>
        </w:r>
        <w:r>
          <w:rPr>
            <w:noProof/>
            <w:webHidden/>
          </w:rPr>
          <w:t>23</w:t>
        </w:r>
        <w:r>
          <w:rPr>
            <w:noProof/>
            <w:webHidden/>
          </w:rPr>
          <w:fldChar w:fldCharType="end"/>
        </w:r>
      </w:hyperlink>
    </w:p>
    <w:p w14:paraId="2B68AEE3" w14:textId="77777777" w:rsidR="00441B0D" w:rsidRDefault="00441B0D">
      <w:pPr>
        <w:pStyle w:val="TOC2"/>
        <w:tabs>
          <w:tab w:val="left" w:pos="880"/>
          <w:tab w:val="right" w:leader="dot" w:pos="9628"/>
        </w:tabs>
        <w:rPr>
          <w:noProof/>
          <w:lang w:val="en-IE" w:eastAsia="en-IE"/>
        </w:rPr>
      </w:pPr>
      <w:hyperlink w:anchor="_Toc394493495" w:history="1">
        <w:r w:rsidRPr="00981A87">
          <w:rPr>
            <w:rStyle w:val="Hyperlink"/>
            <w:noProof/>
          </w:rPr>
          <w:t>4.2</w:t>
        </w:r>
        <w:r>
          <w:rPr>
            <w:noProof/>
            <w:lang w:val="en-IE" w:eastAsia="en-IE"/>
          </w:rPr>
          <w:tab/>
        </w:r>
        <w:r w:rsidRPr="00981A87">
          <w:rPr>
            <w:rStyle w:val="Hyperlink"/>
            <w:noProof/>
          </w:rPr>
          <w:t>What value is placed on social justice advocacy work?</w:t>
        </w:r>
        <w:r>
          <w:rPr>
            <w:noProof/>
            <w:webHidden/>
          </w:rPr>
          <w:tab/>
        </w:r>
        <w:r>
          <w:rPr>
            <w:noProof/>
            <w:webHidden/>
          </w:rPr>
          <w:fldChar w:fldCharType="begin"/>
        </w:r>
        <w:r>
          <w:rPr>
            <w:noProof/>
            <w:webHidden/>
          </w:rPr>
          <w:instrText xml:space="preserve"> PAGEREF _Toc394493495 \h </w:instrText>
        </w:r>
        <w:r>
          <w:rPr>
            <w:noProof/>
            <w:webHidden/>
          </w:rPr>
        </w:r>
        <w:r>
          <w:rPr>
            <w:noProof/>
            <w:webHidden/>
          </w:rPr>
          <w:fldChar w:fldCharType="separate"/>
        </w:r>
        <w:r>
          <w:rPr>
            <w:noProof/>
            <w:webHidden/>
          </w:rPr>
          <w:t>23</w:t>
        </w:r>
        <w:r>
          <w:rPr>
            <w:noProof/>
            <w:webHidden/>
          </w:rPr>
          <w:fldChar w:fldCharType="end"/>
        </w:r>
      </w:hyperlink>
    </w:p>
    <w:p w14:paraId="6A0A0BC3" w14:textId="77777777" w:rsidR="00441B0D" w:rsidRDefault="00441B0D">
      <w:pPr>
        <w:pStyle w:val="TOC2"/>
        <w:tabs>
          <w:tab w:val="left" w:pos="880"/>
          <w:tab w:val="right" w:leader="dot" w:pos="9628"/>
        </w:tabs>
        <w:rPr>
          <w:noProof/>
          <w:lang w:val="en-IE" w:eastAsia="en-IE"/>
        </w:rPr>
      </w:pPr>
      <w:hyperlink w:anchor="_Toc394493496" w:history="1">
        <w:r w:rsidRPr="00981A87">
          <w:rPr>
            <w:rStyle w:val="Hyperlink"/>
            <w:noProof/>
          </w:rPr>
          <w:t>4.3</w:t>
        </w:r>
        <w:r>
          <w:rPr>
            <w:noProof/>
            <w:lang w:val="en-IE" w:eastAsia="en-IE"/>
          </w:rPr>
          <w:tab/>
        </w:r>
        <w:r w:rsidRPr="00981A87">
          <w:rPr>
            <w:rStyle w:val="Hyperlink"/>
            <w:noProof/>
          </w:rPr>
          <w:t>How effective and impactful is this work?</w:t>
        </w:r>
        <w:r>
          <w:rPr>
            <w:noProof/>
            <w:webHidden/>
          </w:rPr>
          <w:tab/>
        </w:r>
        <w:r>
          <w:rPr>
            <w:noProof/>
            <w:webHidden/>
          </w:rPr>
          <w:fldChar w:fldCharType="begin"/>
        </w:r>
        <w:r>
          <w:rPr>
            <w:noProof/>
            <w:webHidden/>
          </w:rPr>
          <w:instrText xml:space="preserve"> PAGEREF _Toc394493496 \h </w:instrText>
        </w:r>
        <w:r>
          <w:rPr>
            <w:noProof/>
            <w:webHidden/>
          </w:rPr>
        </w:r>
        <w:r>
          <w:rPr>
            <w:noProof/>
            <w:webHidden/>
          </w:rPr>
          <w:fldChar w:fldCharType="separate"/>
        </w:r>
        <w:r>
          <w:rPr>
            <w:noProof/>
            <w:webHidden/>
          </w:rPr>
          <w:t>27</w:t>
        </w:r>
        <w:r>
          <w:rPr>
            <w:noProof/>
            <w:webHidden/>
          </w:rPr>
          <w:fldChar w:fldCharType="end"/>
        </w:r>
      </w:hyperlink>
    </w:p>
    <w:p w14:paraId="1E7214C1" w14:textId="77777777" w:rsidR="00441B0D" w:rsidRDefault="00441B0D">
      <w:pPr>
        <w:pStyle w:val="TOC2"/>
        <w:tabs>
          <w:tab w:val="left" w:pos="880"/>
          <w:tab w:val="right" w:leader="dot" w:pos="9628"/>
        </w:tabs>
        <w:rPr>
          <w:noProof/>
          <w:lang w:val="en-IE" w:eastAsia="en-IE"/>
        </w:rPr>
      </w:pPr>
      <w:hyperlink w:anchor="_Toc394493497" w:history="1">
        <w:r w:rsidRPr="00981A87">
          <w:rPr>
            <w:rStyle w:val="Hyperlink"/>
            <w:noProof/>
          </w:rPr>
          <w:t>4.4</w:t>
        </w:r>
        <w:r>
          <w:rPr>
            <w:noProof/>
            <w:lang w:val="en-IE" w:eastAsia="en-IE"/>
          </w:rPr>
          <w:tab/>
        </w:r>
        <w:r w:rsidRPr="00981A87">
          <w:rPr>
            <w:rStyle w:val="Hyperlink"/>
            <w:noProof/>
          </w:rPr>
          <w:t>Key contextual challenges for the community and voluntary sector?</w:t>
        </w:r>
        <w:r>
          <w:rPr>
            <w:noProof/>
            <w:webHidden/>
          </w:rPr>
          <w:tab/>
        </w:r>
        <w:r>
          <w:rPr>
            <w:noProof/>
            <w:webHidden/>
          </w:rPr>
          <w:fldChar w:fldCharType="begin"/>
        </w:r>
        <w:r>
          <w:rPr>
            <w:noProof/>
            <w:webHidden/>
          </w:rPr>
          <w:instrText xml:space="preserve"> PAGEREF _Toc394493497 \h </w:instrText>
        </w:r>
        <w:r>
          <w:rPr>
            <w:noProof/>
            <w:webHidden/>
          </w:rPr>
        </w:r>
        <w:r>
          <w:rPr>
            <w:noProof/>
            <w:webHidden/>
          </w:rPr>
          <w:fldChar w:fldCharType="separate"/>
        </w:r>
        <w:r>
          <w:rPr>
            <w:noProof/>
            <w:webHidden/>
          </w:rPr>
          <w:t>28</w:t>
        </w:r>
        <w:r>
          <w:rPr>
            <w:noProof/>
            <w:webHidden/>
          </w:rPr>
          <w:fldChar w:fldCharType="end"/>
        </w:r>
      </w:hyperlink>
    </w:p>
    <w:p w14:paraId="1992EC95" w14:textId="77777777" w:rsidR="00441B0D" w:rsidRDefault="00441B0D">
      <w:pPr>
        <w:pStyle w:val="TOC2"/>
        <w:tabs>
          <w:tab w:val="left" w:pos="880"/>
          <w:tab w:val="right" w:leader="dot" w:pos="9628"/>
        </w:tabs>
        <w:rPr>
          <w:noProof/>
          <w:lang w:val="en-IE" w:eastAsia="en-IE"/>
        </w:rPr>
      </w:pPr>
      <w:hyperlink w:anchor="_Toc394493498" w:history="1">
        <w:r w:rsidRPr="00981A87">
          <w:rPr>
            <w:rStyle w:val="Hyperlink"/>
            <w:noProof/>
          </w:rPr>
          <w:t>4.5</w:t>
        </w:r>
        <w:r>
          <w:rPr>
            <w:noProof/>
            <w:lang w:val="en-IE" w:eastAsia="en-IE"/>
          </w:rPr>
          <w:tab/>
        </w:r>
        <w:r w:rsidRPr="00981A87">
          <w:rPr>
            <w:rStyle w:val="Hyperlink"/>
            <w:noProof/>
          </w:rPr>
          <w:t>Key practice challenges for community and voluntary social justice advocacy?</w:t>
        </w:r>
        <w:r>
          <w:rPr>
            <w:noProof/>
            <w:webHidden/>
          </w:rPr>
          <w:tab/>
        </w:r>
        <w:r>
          <w:rPr>
            <w:noProof/>
            <w:webHidden/>
          </w:rPr>
          <w:fldChar w:fldCharType="begin"/>
        </w:r>
        <w:r>
          <w:rPr>
            <w:noProof/>
            <w:webHidden/>
          </w:rPr>
          <w:instrText xml:space="preserve"> PAGEREF _Toc394493498 \h </w:instrText>
        </w:r>
        <w:r>
          <w:rPr>
            <w:noProof/>
            <w:webHidden/>
          </w:rPr>
        </w:r>
        <w:r>
          <w:rPr>
            <w:noProof/>
            <w:webHidden/>
          </w:rPr>
          <w:fldChar w:fldCharType="separate"/>
        </w:r>
        <w:r>
          <w:rPr>
            <w:noProof/>
            <w:webHidden/>
          </w:rPr>
          <w:t>30</w:t>
        </w:r>
        <w:r>
          <w:rPr>
            <w:noProof/>
            <w:webHidden/>
          </w:rPr>
          <w:fldChar w:fldCharType="end"/>
        </w:r>
      </w:hyperlink>
    </w:p>
    <w:p w14:paraId="348ADA02" w14:textId="77777777" w:rsidR="00441B0D" w:rsidRDefault="00441B0D">
      <w:pPr>
        <w:pStyle w:val="TOC2"/>
        <w:tabs>
          <w:tab w:val="left" w:pos="880"/>
          <w:tab w:val="right" w:leader="dot" w:pos="9628"/>
        </w:tabs>
        <w:rPr>
          <w:noProof/>
          <w:lang w:val="en-IE" w:eastAsia="en-IE"/>
        </w:rPr>
      </w:pPr>
      <w:hyperlink w:anchor="_Toc394493499" w:history="1">
        <w:r w:rsidRPr="00981A87">
          <w:rPr>
            <w:rStyle w:val="Hyperlink"/>
            <w:noProof/>
          </w:rPr>
          <w:t xml:space="preserve">4.6 </w:t>
        </w:r>
        <w:r>
          <w:rPr>
            <w:noProof/>
            <w:lang w:val="en-IE" w:eastAsia="en-IE"/>
          </w:rPr>
          <w:tab/>
        </w:r>
        <w:r w:rsidRPr="00981A87">
          <w:rPr>
            <w:rStyle w:val="Hyperlink"/>
            <w:noProof/>
          </w:rPr>
          <w:t>The role of policy makers in maximising the impact of social justice advocacy work</w:t>
        </w:r>
        <w:r>
          <w:rPr>
            <w:noProof/>
            <w:webHidden/>
          </w:rPr>
          <w:tab/>
        </w:r>
        <w:r>
          <w:rPr>
            <w:noProof/>
            <w:webHidden/>
          </w:rPr>
          <w:fldChar w:fldCharType="begin"/>
        </w:r>
        <w:r>
          <w:rPr>
            <w:noProof/>
            <w:webHidden/>
          </w:rPr>
          <w:instrText xml:space="preserve"> PAGEREF _Toc394493499 \h </w:instrText>
        </w:r>
        <w:r>
          <w:rPr>
            <w:noProof/>
            <w:webHidden/>
          </w:rPr>
        </w:r>
        <w:r>
          <w:rPr>
            <w:noProof/>
            <w:webHidden/>
          </w:rPr>
          <w:fldChar w:fldCharType="separate"/>
        </w:r>
        <w:r>
          <w:rPr>
            <w:noProof/>
            <w:webHidden/>
          </w:rPr>
          <w:t>32</w:t>
        </w:r>
        <w:r>
          <w:rPr>
            <w:noProof/>
            <w:webHidden/>
          </w:rPr>
          <w:fldChar w:fldCharType="end"/>
        </w:r>
      </w:hyperlink>
    </w:p>
    <w:p w14:paraId="4DDA5C50" w14:textId="77777777" w:rsidR="00441B0D" w:rsidRDefault="00441B0D">
      <w:pPr>
        <w:pStyle w:val="TOC2"/>
        <w:tabs>
          <w:tab w:val="left" w:pos="880"/>
          <w:tab w:val="right" w:leader="dot" w:pos="9628"/>
        </w:tabs>
        <w:rPr>
          <w:noProof/>
          <w:lang w:val="en-IE" w:eastAsia="en-IE"/>
        </w:rPr>
      </w:pPr>
      <w:hyperlink w:anchor="_Toc394493500" w:history="1">
        <w:r w:rsidRPr="00981A87">
          <w:rPr>
            <w:rStyle w:val="Hyperlink"/>
            <w:noProof/>
          </w:rPr>
          <w:t>4.7</w:t>
        </w:r>
        <w:r>
          <w:rPr>
            <w:noProof/>
            <w:lang w:val="en-IE" w:eastAsia="en-IE"/>
          </w:rPr>
          <w:tab/>
        </w:r>
        <w:r w:rsidRPr="00981A87">
          <w:rPr>
            <w:rStyle w:val="Hyperlink"/>
            <w:noProof/>
          </w:rPr>
          <w:t>Overview of the Key Learning</w:t>
        </w:r>
        <w:r>
          <w:rPr>
            <w:noProof/>
            <w:webHidden/>
          </w:rPr>
          <w:tab/>
        </w:r>
        <w:r>
          <w:rPr>
            <w:noProof/>
            <w:webHidden/>
          </w:rPr>
          <w:fldChar w:fldCharType="begin"/>
        </w:r>
        <w:r>
          <w:rPr>
            <w:noProof/>
            <w:webHidden/>
          </w:rPr>
          <w:instrText xml:space="preserve"> PAGEREF _Toc394493500 \h </w:instrText>
        </w:r>
        <w:r>
          <w:rPr>
            <w:noProof/>
            <w:webHidden/>
          </w:rPr>
        </w:r>
        <w:r>
          <w:rPr>
            <w:noProof/>
            <w:webHidden/>
          </w:rPr>
          <w:fldChar w:fldCharType="separate"/>
        </w:r>
        <w:r>
          <w:rPr>
            <w:noProof/>
            <w:webHidden/>
          </w:rPr>
          <w:t>33</w:t>
        </w:r>
        <w:r>
          <w:rPr>
            <w:noProof/>
            <w:webHidden/>
          </w:rPr>
          <w:fldChar w:fldCharType="end"/>
        </w:r>
      </w:hyperlink>
    </w:p>
    <w:p w14:paraId="4D143DE1" w14:textId="77777777" w:rsidR="00441B0D" w:rsidRDefault="00441B0D">
      <w:pPr>
        <w:pStyle w:val="TOC1"/>
        <w:tabs>
          <w:tab w:val="left" w:pos="440"/>
          <w:tab w:val="right" w:leader="dot" w:pos="9628"/>
        </w:tabs>
        <w:rPr>
          <w:noProof/>
          <w:lang w:val="en-IE" w:eastAsia="en-IE"/>
        </w:rPr>
      </w:pPr>
      <w:hyperlink w:anchor="_Toc394493501" w:history="1">
        <w:r w:rsidRPr="00981A87">
          <w:rPr>
            <w:rStyle w:val="Hyperlink"/>
            <w:noProof/>
          </w:rPr>
          <w:t xml:space="preserve">5 </w:t>
        </w:r>
        <w:r>
          <w:rPr>
            <w:noProof/>
            <w:lang w:val="en-IE" w:eastAsia="en-IE"/>
          </w:rPr>
          <w:tab/>
        </w:r>
        <w:r w:rsidRPr="00981A87">
          <w:rPr>
            <w:rStyle w:val="Hyperlink"/>
            <w:noProof/>
          </w:rPr>
          <w:t>What next?</w:t>
        </w:r>
        <w:r>
          <w:rPr>
            <w:noProof/>
            <w:webHidden/>
          </w:rPr>
          <w:tab/>
        </w:r>
        <w:r>
          <w:rPr>
            <w:noProof/>
            <w:webHidden/>
          </w:rPr>
          <w:fldChar w:fldCharType="begin"/>
        </w:r>
        <w:r>
          <w:rPr>
            <w:noProof/>
            <w:webHidden/>
          </w:rPr>
          <w:instrText xml:space="preserve"> PAGEREF _Toc394493501 \h </w:instrText>
        </w:r>
        <w:r>
          <w:rPr>
            <w:noProof/>
            <w:webHidden/>
          </w:rPr>
        </w:r>
        <w:r>
          <w:rPr>
            <w:noProof/>
            <w:webHidden/>
          </w:rPr>
          <w:fldChar w:fldCharType="separate"/>
        </w:r>
        <w:r>
          <w:rPr>
            <w:noProof/>
            <w:webHidden/>
          </w:rPr>
          <w:t>37</w:t>
        </w:r>
        <w:r>
          <w:rPr>
            <w:noProof/>
            <w:webHidden/>
          </w:rPr>
          <w:fldChar w:fldCharType="end"/>
        </w:r>
      </w:hyperlink>
    </w:p>
    <w:p w14:paraId="1C96D242" w14:textId="77777777" w:rsidR="00441B0D" w:rsidRDefault="00441B0D">
      <w:pPr>
        <w:pStyle w:val="TOC1"/>
        <w:tabs>
          <w:tab w:val="left" w:pos="440"/>
          <w:tab w:val="right" w:leader="dot" w:pos="9628"/>
        </w:tabs>
        <w:rPr>
          <w:noProof/>
          <w:lang w:val="en-IE" w:eastAsia="en-IE"/>
        </w:rPr>
      </w:pPr>
      <w:hyperlink w:anchor="_Toc394493502" w:history="1">
        <w:r w:rsidRPr="00981A87">
          <w:rPr>
            <w:rStyle w:val="Hyperlink"/>
            <w:noProof/>
          </w:rPr>
          <w:t xml:space="preserve">6 </w:t>
        </w:r>
        <w:r>
          <w:rPr>
            <w:noProof/>
            <w:lang w:val="en-IE" w:eastAsia="en-IE"/>
          </w:rPr>
          <w:tab/>
        </w:r>
        <w:r w:rsidRPr="00981A87">
          <w:rPr>
            <w:rStyle w:val="Hyperlink"/>
            <w:noProof/>
          </w:rPr>
          <w:t>Resources</w:t>
        </w:r>
        <w:r>
          <w:rPr>
            <w:noProof/>
            <w:webHidden/>
          </w:rPr>
          <w:tab/>
        </w:r>
        <w:r>
          <w:rPr>
            <w:noProof/>
            <w:webHidden/>
          </w:rPr>
          <w:fldChar w:fldCharType="begin"/>
        </w:r>
        <w:r>
          <w:rPr>
            <w:noProof/>
            <w:webHidden/>
          </w:rPr>
          <w:instrText xml:space="preserve"> PAGEREF _Toc394493502 \h </w:instrText>
        </w:r>
        <w:r>
          <w:rPr>
            <w:noProof/>
            <w:webHidden/>
          </w:rPr>
        </w:r>
        <w:r>
          <w:rPr>
            <w:noProof/>
            <w:webHidden/>
          </w:rPr>
          <w:fldChar w:fldCharType="separate"/>
        </w:r>
        <w:r>
          <w:rPr>
            <w:noProof/>
            <w:webHidden/>
          </w:rPr>
          <w:t>38</w:t>
        </w:r>
        <w:r>
          <w:rPr>
            <w:noProof/>
            <w:webHidden/>
          </w:rPr>
          <w:fldChar w:fldCharType="end"/>
        </w:r>
      </w:hyperlink>
    </w:p>
    <w:p w14:paraId="3F30C7FA" w14:textId="53CC8C8A" w:rsidR="003A21C4" w:rsidRPr="00D453DC" w:rsidRDefault="00441B0D" w:rsidP="00441B0D">
      <w:pPr>
        <w:pStyle w:val="TOCHeading"/>
      </w:pPr>
      <w:r>
        <w:lastRenderedPageBreak/>
        <w:fldChar w:fldCharType="end"/>
      </w:r>
      <w:bookmarkStart w:id="0" w:name="_Toc394492931"/>
      <w:bookmarkStart w:id="1" w:name="_Toc394493470"/>
      <w:r w:rsidR="00D453DC" w:rsidRPr="00D453DC">
        <w:t>What is social justice advocacy</w:t>
      </w:r>
      <w:r w:rsidR="00D9042C">
        <w:t xml:space="preserve"> and who is involved</w:t>
      </w:r>
      <w:r w:rsidR="00D453DC" w:rsidRPr="00D453DC">
        <w:t>?</w:t>
      </w:r>
      <w:bookmarkEnd w:id="0"/>
      <w:bookmarkEnd w:id="1"/>
    </w:p>
    <w:p w14:paraId="3E296589" w14:textId="77777777" w:rsidR="0056120D" w:rsidRDefault="0056120D" w:rsidP="00D453DC">
      <w:pPr>
        <w:autoSpaceDE w:val="0"/>
        <w:autoSpaceDN w:val="0"/>
        <w:adjustRightInd w:val="0"/>
        <w:spacing w:after="0" w:line="240" w:lineRule="auto"/>
      </w:pPr>
    </w:p>
    <w:p w14:paraId="38CB7B7C" w14:textId="687A929A" w:rsidR="00A37028" w:rsidRDefault="00A37028" w:rsidP="00D453DC">
      <w:pPr>
        <w:autoSpaceDE w:val="0"/>
        <w:autoSpaceDN w:val="0"/>
        <w:adjustRightInd w:val="0"/>
        <w:spacing w:after="0" w:line="240" w:lineRule="auto"/>
      </w:pPr>
      <w:r>
        <w:t xml:space="preserve">The two key </w:t>
      </w:r>
      <w:r w:rsidR="007C5FCF" w:rsidRPr="003A21C4">
        <w:t>questions</w:t>
      </w:r>
      <w:r>
        <w:t xml:space="preserve"> we had to address a</w:t>
      </w:r>
      <w:r w:rsidRPr="003A21C4">
        <w:t xml:space="preserve">t the outset of the Advocacy Initiative </w:t>
      </w:r>
      <w:r>
        <w:t>were:</w:t>
      </w:r>
    </w:p>
    <w:p w14:paraId="0BDC9CCC" w14:textId="77777777" w:rsidR="00A37028" w:rsidRDefault="00A37028" w:rsidP="00D453DC">
      <w:pPr>
        <w:autoSpaceDE w:val="0"/>
        <w:autoSpaceDN w:val="0"/>
        <w:adjustRightInd w:val="0"/>
        <w:spacing w:after="0" w:line="240" w:lineRule="auto"/>
      </w:pPr>
    </w:p>
    <w:p w14:paraId="4890FC0E" w14:textId="0020D0A4" w:rsidR="00A37028" w:rsidRDefault="00A37028" w:rsidP="00D22AD5">
      <w:pPr>
        <w:pStyle w:val="ListParagraph"/>
        <w:numPr>
          <w:ilvl w:val="0"/>
          <w:numId w:val="24"/>
        </w:numPr>
        <w:autoSpaceDE w:val="0"/>
        <w:autoSpaceDN w:val="0"/>
        <w:adjustRightInd w:val="0"/>
        <w:spacing w:after="0" w:line="240" w:lineRule="auto"/>
      </w:pPr>
      <w:r>
        <w:t>W</w:t>
      </w:r>
      <w:r w:rsidR="00BD1F43">
        <w:t xml:space="preserve">hat is </w:t>
      </w:r>
      <w:r w:rsidR="00D453DC">
        <w:t xml:space="preserve">social justice </w:t>
      </w:r>
      <w:r w:rsidR="00BD1F43">
        <w:t>advocacy</w:t>
      </w:r>
      <w:r>
        <w:t>?</w:t>
      </w:r>
    </w:p>
    <w:p w14:paraId="7657F0E7" w14:textId="77777777" w:rsidR="00A37028" w:rsidRDefault="00A37028" w:rsidP="00A37028">
      <w:pPr>
        <w:pStyle w:val="ListParagraph"/>
        <w:autoSpaceDE w:val="0"/>
        <w:autoSpaceDN w:val="0"/>
        <w:adjustRightInd w:val="0"/>
        <w:spacing w:after="0" w:line="240" w:lineRule="auto"/>
      </w:pPr>
    </w:p>
    <w:p w14:paraId="6EDF459E" w14:textId="2A4D384F" w:rsidR="00A37028" w:rsidRDefault="00EC5D41" w:rsidP="00A37028">
      <w:pPr>
        <w:pStyle w:val="ListParagraph"/>
        <w:autoSpaceDE w:val="0"/>
        <w:autoSpaceDN w:val="0"/>
        <w:adjustRightInd w:val="0"/>
        <w:spacing w:after="0" w:line="240" w:lineRule="auto"/>
        <w:ind w:firstLine="720"/>
      </w:pPr>
      <w:r>
        <w:t xml:space="preserve">&amp; </w:t>
      </w:r>
    </w:p>
    <w:p w14:paraId="3E3BC724" w14:textId="77777777" w:rsidR="00A37028" w:rsidRDefault="00A37028" w:rsidP="00A37028">
      <w:pPr>
        <w:pStyle w:val="ListParagraph"/>
        <w:autoSpaceDE w:val="0"/>
        <w:autoSpaceDN w:val="0"/>
        <w:adjustRightInd w:val="0"/>
        <w:spacing w:after="0" w:line="240" w:lineRule="auto"/>
      </w:pPr>
    </w:p>
    <w:p w14:paraId="6C908FFA" w14:textId="5B21B4F0" w:rsidR="00A37028" w:rsidRDefault="00A37028" w:rsidP="00D22AD5">
      <w:pPr>
        <w:pStyle w:val="ListParagraph"/>
        <w:numPr>
          <w:ilvl w:val="0"/>
          <w:numId w:val="24"/>
        </w:numPr>
        <w:autoSpaceDE w:val="0"/>
        <w:autoSpaceDN w:val="0"/>
        <w:adjustRightInd w:val="0"/>
        <w:spacing w:after="0" w:line="240" w:lineRule="auto"/>
      </w:pPr>
      <w:r>
        <w:t>W</w:t>
      </w:r>
      <w:r w:rsidR="00D453DC">
        <w:t>ho is involved</w:t>
      </w:r>
      <w:r>
        <w:t xml:space="preserve"> in social justice advocacy?</w:t>
      </w:r>
    </w:p>
    <w:p w14:paraId="37FA48C6" w14:textId="77777777" w:rsidR="003A21C4" w:rsidRDefault="003A21C4" w:rsidP="003A21C4">
      <w:pPr>
        <w:autoSpaceDE w:val="0"/>
        <w:autoSpaceDN w:val="0"/>
        <w:adjustRightInd w:val="0"/>
        <w:spacing w:after="0" w:line="240" w:lineRule="auto"/>
      </w:pPr>
    </w:p>
    <w:p w14:paraId="1D0E7C37" w14:textId="54F433A6" w:rsidR="002D2C6A" w:rsidRPr="002D2C6A" w:rsidRDefault="002D2C6A" w:rsidP="00EC29A2">
      <w:pPr>
        <w:pStyle w:val="Heading2"/>
      </w:pPr>
      <w:bookmarkStart w:id="2" w:name="_Toc394492932"/>
      <w:bookmarkStart w:id="3" w:name="_Toc394493471"/>
      <w:r>
        <w:t xml:space="preserve">1.1 </w:t>
      </w:r>
      <w:r>
        <w:tab/>
      </w:r>
      <w:r w:rsidRPr="002D2C6A">
        <w:t>What is social justice advocacy?</w:t>
      </w:r>
      <w:bookmarkEnd w:id="2"/>
      <w:bookmarkEnd w:id="3"/>
    </w:p>
    <w:p w14:paraId="4311C5F9" w14:textId="6D06E5E2" w:rsidR="002D2C6A" w:rsidRPr="002D2C6A" w:rsidRDefault="002D2C6A" w:rsidP="00421D6A">
      <w:pPr>
        <w:pStyle w:val="Heading3"/>
      </w:pPr>
      <w:bookmarkStart w:id="4" w:name="_Toc394492933"/>
      <w:r w:rsidRPr="002D2C6A">
        <w:t>What is advocacy</w:t>
      </w:r>
      <w:r>
        <w:t>?</w:t>
      </w:r>
      <w:bookmarkEnd w:id="4"/>
    </w:p>
    <w:p w14:paraId="639EF621" w14:textId="1C16001F" w:rsidR="00865AB8" w:rsidRDefault="00987EF4" w:rsidP="00865AB8">
      <w:pPr>
        <w:autoSpaceDE w:val="0"/>
        <w:autoSpaceDN w:val="0"/>
        <w:adjustRightInd w:val="0"/>
        <w:spacing w:after="0" w:line="240" w:lineRule="auto"/>
      </w:pPr>
      <w:r>
        <w:t>T</w:t>
      </w:r>
      <w:r w:rsidR="00865AB8" w:rsidRPr="004960A8">
        <w:t xml:space="preserve">he word advocacy comes from the Greek word ‘ad </w:t>
      </w:r>
      <w:proofErr w:type="spellStart"/>
      <w:r w:rsidR="00865AB8" w:rsidRPr="004960A8">
        <w:t>vocare</w:t>
      </w:r>
      <w:proofErr w:type="spellEnd"/>
      <w:r w:rsidR="00865AB8" w:rsidRPr="004960A8">
        <w:t xml:space="preserve">’ which literally means </w:t>
      </w:r>
      <w:r w:rsidR="00EC5D41">
        <w:t>‘</w:t>
      </w:r>
      <w:r w:rsidR="00865AB8" w:rsidRPr="004960A8">
        <w:t>towards a voice</w:t>
      </w:r>
      <w:r w:rsidR="00EC5D41">
        <w:t>’</w:t>
      </w:r>
      <w:r w:rsidR="00865AB8" w:rsidRPr="004960A8">
        <w:t xml:space="preserve">. Advocacy is therefore </w:t>
      </w:r>
      <w:r w:rsidR="00865AB8">
        <w:t xml:space="preserve">all </w:t>
      </w:r>
      <w:r w:rsidR="00865AB8" w:rsidRPr="004960A8">
        <w:t>about giving voice to/on behalf of an individual or a group/s, in order to promote and achieve positive change</w:t>
      </w:r>
      <w:r w:rsidR="00865AB8">
        <w:t>/s</w:t>
      </w:r>
      <w:r w:rsidR="00865AB8" w:rsidRPr="004960A8">
        <w:t xml:space="preserve"> in relation to</w:t>
      </w:r>
      <w:r w:rsidR="00865AB8">
        <w:t>:</w:t>
      </w:r>
      <w:r w:rsidR="00865AB8" w:rsidRPr="004960A8">
        <w:t xml:space="preserve"> </w:t>
      </w:r>
    </w:p>
    <w:p w14:paraId="09B9B359" w14:textId="77777777" w:rsidR="00FF7255" w:rsidRPr="004960A8" w:rsidRDefault="00FF7255" w:rsidP="00865AB8">
      <w:pPr>
        <w:autoSpaceDE w:val="0"/>
        <w:autoSpaceDN w:val="0"/>
        <w:adjustRightInd w:val="0"/>
        <w:spacing w:after="0" w:line="240" w:lineRule="auto"/>
      </w:pPr>
    </w:p>
    <w:p w14:paraId="64553750" w14:textId="77777777" w:rsidR="00865AB8" w:rsidRPr="004960A8" w:rsidRDefault="00865AB8" w:rsidP="00D22AD5">
      <w:pPr>
        <w:pStyle w:val="ListParagraph"/>
        <w:numPr>
          <w:ilvl w:val="0"/>
          <w:numId w:val="2"/>
        </w:numPr>
        <w:autoSpaceDE w:val="0"/>
        <w:autoSpaceDN w:val="0"/>
        <w:adjustRightInd w:val="0"/>
        <w:spacing w:after="0" w:line="240" w:lineRule="auto"/>
      </w:pPr>
      <w:r w:rsidRPr="004960A8">
        <w:t>Public policy and practice</w:t>
      </w:r>
    </w:p>
    <w:p w14:paraId="3437E469" w14:textId="77777777" w:rsidR="00865AB8" w:rsidRPr="004960A8" w:rsidRDefault="00865AB8" w:rsidP="00D22AD5">
      <w:pPr>
        <w:pStyle w:val="ListParagraph"/>
        <w:numPr>
          <w:ilvl w:val="0"/>
          <w:numId w:val="2"/>
        </w:numPr>
        <w:autoSpaceDE w:val="0"/>
        <w:autoSpaceDN w:val="0"/>
        <w:adjustRightInd w:val="0"/>
        <w:spacing w:after="0" w:line="240" w:lineRule="auto"/>
      </w:pPr>
      <w:r w:rsidRPr="004960A8">
        <w:t>Corporate policy and practice</w:t>
      </w:r>
    </w:p>
    <w:p w14:paraId="5F425CA5" w14:textId="77777777" w:rsidR="00865AB8" w:rsidRDefault="00865AB8" w:rsidP="00D22AD5">
      <w:pPr>
        <w:pStyle w:val="ListParagraph"/>
        <w:numPr>
          <w:ilvl w:val="0"/>
          <w:numId w:val="2"/>
        </w:numPr>
        <w:autoSpaceDE w:val="0"/>
        <w:autoSpaceDN w:val="0"/>
        <w:adjustRightInd w:val="0"/>
        <w:spacing w:after="0" w:line="240" w:lineRule="auto"/>
      </w:pPr>
      <w:r w:rsidRPr="004960A8">
        <w:t>Public attitudes and behaviour</w:t>
      </w:r>
    </w:p>
    <w:p w14:paraId="0FE9113E" w14:textId="77777777" w:rsidR="008C0224" w:rsidRDefault="008C0224" w:rsidP="00D22AD5">
      <w:pPr>
        <w:pStyle w:val="ListParagraph"/>
        <w:numPr>
          <w:ilvl w:val="0"/>
          <w:numId w:val="2"/>
        </w:numPr>
        <w:autoSpaceDE w:val="0"/>
        <w:autoSpaceDN w:val="0"/>
        <w:adjustRightInd w:val="0"/>
        <w:spacing w:after="0" w:line="240" w:lineRule="auto"/>
      </w:pPr>
      <w:r>
        <w:t>Resource allocations</w:t>
      </w:r>
    </w:p>
    <w:p w14:paraId="7B472F31" w14:textId="77777777" w:rsidR="008C0224" w:rsidRPr="004960A8" w:rsidRDefault="008C0224" w:rsidP="00D22AD5">
      <w:pPr>
        <w:pStyle w:val="ListParagraph"/>
        <w:numPr>
          <w:ilvl w:val="0"/>
          <w:numId w:val="2"/>
        </w:numPr>
        <w:autoSpaceDE w:val="0"/>
        <w:autoSpaceDN w:val="0"/>
        <w:adjustRightInd w:val="0"/>
        <w:spacing w:after="0" w:line="240" w:lineRule="auto"/>
      </w:pPr>
      <w:r>
        <w:t>Power and relationships</w:t>
      </w:r>
    </w:p>
    <w:p w14:paraId="74EA696D" w14:textId="77777777" w:rsidR="00865AB8" w:rsidRPr="004960A8" w:rsidRDefault="00865AB8" w:rsidP="00D22AD5">
      <w:pPr>
        <w:pStyle w:val="ListParagraph"/>
        <w:numPr>
          <w:ilvl w:val="0"/>
          <w:numId w:val="2"/>
        </w:numPr>
        <w:autoSpaceDE w:val="0"/>
        <w:autoSpaceDN w:val="0"/>
        <w:adjustRightInd w:val="0"/>
        <w:spacing w:after="0" w:line="240" w:lineRule="auto"/>
      </w:pPr>
      <w:r w:rsidRPr="004960A8">
        <w:t>Decision making processes so that affected communities are involved</w:t>
      </w:r>
    </w:p>
    <w:p w14:paraId="5FDB79E6" w14:textId="77777777" w:rsidR="00865AB8" w:rsidRPr="004960A8" w:rsidRDefault="00865AB8" w:rsidP="00D22AD5">
      <w:pPr>
        <w:pStyle w:val="ListParagraph"/>
        <w:numPr>
          <w:ilvl w:val="0"/>
          <w:numId w:val="2"/>
        </w:numPr>
        <w:autoSpaceDE w:val="0"/>
        <w:autoSpaceDN w:val="0"/>
        <w:adjustRightInd w:val="0"/>
        <w:spacing w:after="0" w:line="240" w:lineRule="auto"/>
      </w:pPr>
      <w:r w:rsidRPr="004960A8">
        <w:t>Empowering affected communities to influence the decisions that affect them</w:t>
      </w:r>
    </w:p>
    <w:p w14:paraId="508E40C5" w14:textId="77777777" w:rsidR="00923198" w:rsidRDefault="00923198" w:rsidP="00923198">
      <w:pPr>
        <w:autoSpaceDE w:val="0"/>
        <w:autoSpaceDN w:val="0"/>
        <w:adjustRightInd w:val="0"/>
        <w:spacing w:after="0" w:line="240" w:lineRule="auto"/>
      </w:pPr>
    </w:p>
    <w:p w14:paraId="47107110" w14:textId="089F50B8" w:rsidR="00036E41" w:rsidRPr="00B33993" w:rsidRDefault="00923198" w:rsidP="00923198">
      <w:pPr>
        <w:autoSpaceDE w:val="0"/>
        <w:autoSpaceDN w:val="0"/>
        <w:adjustRightInd w:val="0"/>
        <w:spacing w:after="0" w:line="240" w:lineRule="auto"/>
      </w:pPr>
      <w:r>
        <w:t xml:space="preserve">We found </w:t>
      </w:r>
      <w:r w:rsidR="00865AB8" w:rsidRPr="004960A8">
        <w:t xml:space="preserve">many different forms of advocacy </w:t>
      </w:r>
      <w:r w:rsidR="00036E41" w:rsidRPr="00B33993">
        <w:t>including:</w:t>
      </w:r>
    </w:p>
    <w:p w14:paraId="5CCE59D6" w14:textId="77777777" w:rsidR="00036E41" w:rsidRPr="00B33993" w:rsidRDefault="00036E41" w:rsidP="00036E41">
      <w:pPr>
        <w:pStyle w:val="Default"/>
        <w:rPr>
          <w:rFonts w:asciiTheme="minorHAnsi" w:hAnsiTheme="minorHAnsi"/>
          <w:sz w:val="22"/>
          <w:szCs w:val="22"/>
        </w:rPr>
      </w:pPr>
    </w:p>
    <w:p w14:paraId="73595D93" w14:textId="1AD3381F" w:rsidR="00036E41" w:rsidRPr="0001169B" w:rsidRDefault="00036E41" w:rsidP="00036E41">
      <w:pPr>
        <w:pStyle w:val="Default"/>
        <w:ind w:left="284"/>
        <w:rPr>
          <w:rFonts w:asciiTheme="minorHAnsi" w:hAnsiTheme="minorHAnsi" w:cstheme="minorBidi"/>
          <w:color w:val="auto"/>
          <w:sz w:val="22"/>
          <w:szCs w:val="22"/>
        </w:rPr>
      </w:pPr>
      <w:r w:rsidRPr="0001169B">
        <w:rPr>
          <w:rFonts w:asciiTheme="minorHAnsi" w:hAnsiTheme="minorHAnsi" w:cstheme="minorBidi"/>
          <w:color w:val="auto"/>
          <w:sz w:val="22"/>
          <w:szCs w:val="22"/>
        </w:rPr>
        <w:t>- ‘insider’/‘internal’ activities, in which organisations participate within official policy-making spaces (engaging with politicians, civil servants and policy influencers), such as through writing submissions to government</w:t>
      </w:r>
      <w:r w:rsidR="00DB0FFF" w:rsidRPr="0001169B">
        <w:rPr>
          <w:rFonts w:asciiTheme="minorHAnsi" w:hAnsiTheme="minorHAnsi" w:cstheme="minorBidi"/>
          <w:color w:val="auto"/>
          <w:sz w:val="22"/>
          <w:szCs w:val="22"/>
        </w:rPr>
        <w:t>, face to face meetings with politicians and other policy makers,</w:t>
      </w:r>
      <w:r w:rsidRPr="0001169B">
        <w:rPr>
          <w:rFonts w:asciiTheme="minorHAnsi" w:hAnsiTheme="minorHAnsi" w:cstheme="minorBidi"/>
          <w:color w:val="auto"/>
          <w:sz w:val="22"/>
          <w:szCs w:val="22"/>
        </w:rPr>
        <w:t xml:space="preserve"> sitting on government </w:t>
      </w:r>
      <w:r w:rsidR="0002338F" w:rsidRPr="0001169B">
        <w:rPr>
          <w:rFonts w:asciiTheme="minorHAnsi" w:hAnsiTheme="minorHAnsi" w:cstheme="minorBidi"/>
          <w:color w:val="auto"/>
          <w:sz w:val="22"/>
          <w:szCs w:val="22"/>
        </w:rPr>
        <w:t>c</w:t>
      </w:r>
      <w:r w:rsidRPr="0001169B">
        <w:rPr>
          <w:rFonts w:asciiTheme="minorHAnsi" w:hAnsiTheme="minorHAnsi" w:cstheme="minorBidi"/>
          <w:color w:val="auto"/>
          <w:sz w:val="22"/>
          <w:szCs w:val="22"/>
        </w:rPr>
        <w:t>ommittees, etc.</w:t>
      </w:r>
      <w:r w:rsidR="0002338F" w:rsidRPr="0001169B">
        <w:rPr>
          <w:rFonts w:asciiTheme="minorHAnsi" w:hAnsiTheme="minorHAnsi" w:cstheme="minorBidi"/>
          <w:color w:val="auto"/>
          <w:sz w:val="22"/>
          <w:szCs w:val="22"/>
        </w:rPr>
        <w:t>)</w:t>
      </w:r>
      <w:r w:rsidR="0001169B" w:rsidRPr="0001169B">
        <w:rPr>
          <w:rFonts w:asciiTheme="minorHAnsi" w:hAnsiTheme="minorHAnsi" w:cstheme="minorBidi"/>
          <w:color w:val="auto"/>
          <w:sz w:val="22"/>
          <w:szCs w:val="22"/>
        </w:rPr>
        <w:t>.</w:t>
      </w:r>
      <w:r w:rsidRPr="0001169B">
        <w:rPr>
          <w:rFonts w:asciiTheme="minorHAnsi" w:hAnsiTheme="minorHAnsi" w:cstheme="minorBidi"/>
          <w:color w:val="auto"/>
          <w:sz w:val="22"/>
          <w:szCs w:val="22"/>
        </w:rPr>
        <w:t xml:space="preserve"> </w:t>
      </w:r>
      <w:r w:rsidR="0001169B" w:rsidRPr="0001169B">
        <w:rPr>
          <w:rFonts w:asciiTheme="minorHAnsi" w:hAnsiTheme="minorHAnsi" w:cstheme="minorBidi"/>
          <w:color w:val="auto"/>
          <w:sz w:val="22"/>
          <w:szCs w:val="22"/>
        </w:rPr>
        <w:t>We identified lobbying as a part of insider advocacy work which relates to influencing a specific piece of legi</w:t>
      </w:r>
      <w:r w:rsidR="00421D6A">
        <w:rPr>
          <w:rFonts w:asciiTheme="minorHAnsi" w:hAnsiTheme="minorHAnsi" w:cstheme="minorBidi"/>
          <w:color w:val="auto"/>
          <w:sz w:val="22"/>
          <w:szCs w:val="22"/>
        </w:rPr>
        <w:t xml:space="preserve">slation or </w:t>
      </w:r>
      <w:r w:rsidR="0001169B" w:rsidRPr="0001169B">
        <w:rPr>
          <w:rFonts w:asciiTheme="minorHAnsi" w:hAnsiTheme="minorHAnsi" w:cstheme="minorBidi"/>
          <w:color w:val="auto"/>
          <w:sz w:val="22"/>
          <w:szCs w:val="22"/>
        </w:rPr>
        <w:t xml:space="preserve">policy process, </w:t>
      </w:r>
      <w:r w:rsidR="00EC5D41">
        <w:rPr>
          <w:rFonts w:asciiTheme="minorHAnsi" w:hAnsiTheme="minorHAnsi" w:cstheme="minorBidi"/>
          <w:color w:val="auto"/>
          <w:sz w:val="22"/>
          <w:szCs w:val="22"/>
        </w:rPr>
        <w:t xml:space="preserve">such as </w:t>
      </w:r>
      <w:r w:rsidR="0001169B" w:rsidRPr="0001169B">
        <w:rPr>
          <w:rFonts w:asciiTheme="minorHAnsi" w:hAnsiTheme="minorHAnsi" w:cstheme="minorBidi"/>
          <w:color w:val="auto"/>
          <w:sz w:val="22"/>
          <w:szCs w:val="22"/>
        </w:rPr>
        <w:t xml:space="preserve">the annual budgetary process.  </w:t>
      </w:r>
    </w:p>
    <w:p w14:paraId="4667D3C0" w14:textId="77777777" w:rsidR="00036E41" w:rsidRPr="00B33993" w:rsidRDefault="00036E41" w:rsidP="00036E41">
      <w:pPr>
        <w:pStyle w:val="Default"/>
        <w:ind w:left="284"/>
        <w:rPr>
          <w:rFonts w:asciiTheme="minorHAnsi" w:hAnsiTheme="minorHAnsi"/>
          <w:sz w:val="22"/>
          <w:szCs w:val="22"/>
        </w:rPr>
      </w:pPr>
    </w:p>
    <w:p w14:paraId="183356A0" w14:textId="77777777" w:rsidR="00036E41" w:rsidRPr="00B33993" w:rsidRDefault="00036E41" w:rsidP="00036E41">
      <w:pPr>
        <w:spacing w:line="240" w:lineRule="auto"/>
        <w:ind w:left="284"/>
      </w:pPr>
      <w:r w:rsidRPr="00B33993">
        <w:t>-more ‘outsider’/’external’ activities, include public and media campaigns (targeting the media and the general public) as well as more radical activities like street protests or occupying spaces</w:t>
      </w:r>
      <w:r w:rsidR="003F36EE">
        <w:t>.</w:t>
      </w:r>
      <w:r w:rsidRPr="00B33993">
        <w:t xml:space="preserve"> </w:t>
      </w:r>
    </w:p>
    <w:p w14:paraId="048F04DB" w14:textId="3B7A683E" w:rsidR="00865AB8" w:rsidRPr="00B33993" w:rsidRDefault="00923198" w:rsidP="00865AB8">
      <w:pPr>
        <w:spacing w:line="240" w:lineRule="auto"/>
      </w:pPr>
      <w:r>
        <w:t>In hindsight we probably focused more on insider than outsider strategies because that was what our members were</w:t>
      </w:r>
      <w:r w:rsidR="00D9042C">
        <w:t xml:space="preserve"> interested in</w:t>
      </w:r>
      <w:r>
        <w:t xml:space="preserve">.  </w:t>
      </w:r>
    </w:p>
    <w:p w14:paraId="62939FF1" w14:textId="6CB3DEAC" w:rsidR="00865AB8" w:rsidRPr="00632A79" w:rsidRDefault="00D9042C" w:rsidP="00632A79">
      <w:pPr>
        <w:pStyle w:val="Heading3"/>
      </w:pPr>
      <w:bookmarkStart w:id="5" w:name="_Toc394492934"/>
      <w:r w:rsidRPr="00632A79">
        <w:t>W</w:t>
      </w:r>
      <w:r w:rsidR="00865AB8" w:rsidRPr="00632A79">
        <w:t xml:space="preserve">hy do organisations </w:t>
      </w:r>
      <w:r w:rsidR="00BD43B5" w:rsidRPr="00632A79">
        <w:t>undertake</w:t>
      </w:r>
      <w:r w:rsidR="00865AB8" w:rsidRPr="00632A79">
        <w:t xml:space="preserve"> advocacy?</w:t>
      </w:r>
      <w:bookmarkEnd w:id="5"/>
    </w:p>
    <w:p w14:paraId="728811D3" w14:textId="59F6C8FD" w:rsidR="00865AB8" w:rsidRPr="00B33993" w:rsidRDefault="00D9042C" w:rsidP="00632A79">
      <w:r>
        <w:t>We found that o</w:t>
      </w:r>
      <w:r w:rsidR="00865AB8" w:rsidRPr="00B33993">
        <w:t>rganisations engage</w:t>
      </w:r>
      <w:r>
        <w:t>d</w:t>
      </w:r>
      <w:r w:rsidR="00865AB8" w:rsidRPr="00B33993">
        <w:t xml:space="preserve"> in advocacy on behalf of the interests they represent based on the belief that by engagin</w:t>
      </w:r>
      <w:r>
        <w:t>g in the public sphere, they could</w:t>
      </w:r>
      <w:r w:rsidR="00865AB8" w:rsidRPr="00B33993">
        <w:t xml:space="preserve"> influence public policy </w:t>
      </w:r>
      <w:r>
        <w:t xml:space="preserve">and/or key </w:t>
      </w:r>
      <w:r w:rsidR="00865AB8" w:rsidRPr="00B33993">
        <w:t>decisions</w:t>
      </w:r>
      <w:r>
        <w:t xml:space="preserve"> makers or</w:t>
      </w:r>
      <w:r w:rsidR="00865AB8" w:rsidRPr="00B33993">
        <w:t xml:space="preserve"> institutional elite</w:t>
      </w:r>
      <w:r w:rsidR="003F36EE">
        <w:t>s</w:t>
      </w:r>
      <w:r w:rsidR="00865AB8" w:rsidRPr="00B33993">
        <w:t>.</w:t>
      </w:r>
      <w:r>
        <w:t xml:space="preserve"> We found that these organisations </w:t>
      </w:r>
      <w:r w:rsidR="00865AB8" w:rsidRPr="00B33993">
        <w:t>direct their efforts at a range of audiences and seek to use ideas and speech to shape the environment in which they operate. If one’s aim is to shape public priorities, some believe advocacy is a way of achieving substantial leverage. While direct service programmes change the world one client at a time, advocacy efforts generally focus on broad changes in systems and policy.</w:t>
      </w:r>
    </w:p>
    <w:p w14:paraId="0820481A" w14:textId="43163FBD" w:rsidR="0001169B" w:rsidRPr="00E169C6" w:rsidRDefault="0001169B" w:rsidP="00632A79">
      <w:pPr>
        <w:rPr>
          <w:b/>
          <w:sz w:val="18"/>
        </w:rPr>
      </w:pPr>
      <w:r w:rsidRPr="00E169C6">
        <w:lastRenderedPageBreak/>
        <w:t>We believe that organisations engage in social justice advocacy work in order to represent and articulate positions on behalf of excluded and</w:t>
      </w:r>
      <w:r w:rsidR="00EC5D41" w:rsidRPr="00E169C6">
        <w:t>/</w:t>
      </w:r>
      <w:r w:rsidRPr="00E169C6">
        <w:t xml:space="preserve">or vulnerable group/s believing that advocacy is a way of achieving substantial leverage. According </w:t>
      </w:r>
      <w:r w:rsidR="00987EF4" w:rsidRPr="00E169C6">
        <w:t xml:space="preserve">to </w:t>
      </w:r>
      <w:r w:rsidR="00E169C6" w:rsidRPr="00E169C6">
        <w:t xml:space="preserve">our report Funding Dissent: </w:t>
      </w:r>
      <w:r w:rsidR="00E169C6">
        <w:t xml:space="preserve">Research into the Impact on Advocacy of State Funding of Voluntary and Community Organisations </w:t>
      </w:r>
      <w:r w:rsidRPr="00E169C6">
        <w:t>it can:</w:t>
      </w:r>
    </w:p>
    <w:p w14:paraId="597AB12F" w14:textId="1086F5B5" w:rsidR="0001169B" w:rsidRPr="00D64F54" w:rsidRDefault="0001169B" w:rsidP="00632A79">
      <w:pPr>
        <w:pStyle w:val="ListParagraph"/>
        <w:numPr>
          <w:ilvl w:val="0"/>
          <w:numId w:val="39"/>
        </w:numPr>
      </w:pPr>
      <w:r>
        <w:t>Mobilise citizens</w:t>
      </w:r>
      <w:r w:rsidR="00987EF4">
        <w:t>:</w:t>
      </w:r>
      <w:r>
        <w:t xml:space="preserve"> </w:t>
      </w:r>
      <w:r w:rsidR="00987EF4">
        <w:t>Channelling</w:t>
      </w:r>
      <w:r>
        <w:t xml:space="preserve"> participation and promote cohesion</w:t>
      </w:r>
      <w:r w:rsidR="00987EF4">
        <w:t>, g</w:t>
      </w:r>
      <w:r>
        <w:t>iving</w:t>
      </w:r>
      <w:r w:rsidRPr="00B33993">
        <w:t xml:space="preserve"> </w:t>
      </w:r>
      <w:r w:rsidRPr="00632A79">
        <w:rPr>
          <w:bCs/>
        </w:rPr>
        <w:t>voice</w:t>
      </w:r>
      <w:r w:rsidRPr="00632A79">
        <w:rPr>
          <w:b/>
          <w:bCs/>
        </w:rPr>
        <w:t xml:space="preserve"> </w:t>
      </w:r>
      <w:r>
        <w:t>to</w:t>
      </w:r>
      <w:r w:rsidRPr="00B33993">
        <w:t xml:space="preserve"> those who are </w:t>
      </w:r>
      <w:r w:rsidRPr="00632A79">
        <w:rPr>
          <w:rFonts w:cs="Calibri"/>
          <w:color w:val="000000"/>
        </w:rPr>
        <w:t>under or unrepresented in policy making</w:t>
      </w:r>
      <w:r>
        <w:t xml:space="preserve">. </w:t>
      </w:r>
      <w:r w:rsidRPr="00D64F54">
        <w:t xml:space="preserve">This is especially important when membership of political parties is so unattractive and when other opportunities to participate in democratic decision-making are so limited. </w:t>
      </w:r>
    </w:p>
    <w:p w14:paraId="52EC4A90" w14:textId="3B8AFF12" w:rsidR="0001169B" w:rsidRPr="00D64F54" w:rsidRDefault="0001169B" w:rsidP="00632A79">
      <w:pPr>
        <w:pStyle w:val="ListParagraph"/>
        <w:numPr>
          <w:ilvl w:val="0"/>
          <w:numId w:val="39"/>
        </w:numPr>
      </w:pPr>
      <w:r w:rsidRPr="00D64F54">
        <w:t xml:space="preserve">Improve policies: </w:t>
      </w:r>
      <w:r w:rsidR="00EC5D41">
        <w:t>O</w:t>
      </w:r>
      <w:r w:rsidRPr="00D64F54">
        <w:t>rganisations involved in this work can bring a broad range of information, options and solutions to government, improving the quality of the decisions subsequently taken and enabling government to avoid unintended and negative consequences.</w:t>
      </w:r>
    </w:p>
    <w:p w14:paraId="4DF56522" w14:textId="5E683166" w:rsidR="0001169B" w:rsidRPr="00D64F54" w:rsidRDefault="0001169B" w:rsidP="00632A79">
      <w:pPr>
        <w:pStyle w:val="ListParagraph"/>
        <w:numPr>
          <w:ilvl w:val="0"/>
          <w:numId w:val="39"/>
        </w:numPr>
      </w:pPr>
      <w:r>
        <w:t>P</w:t>
      </w:r>
      <w:r w:rsidRPr="000935EF">
        <w:t>rovide expertise</w:t>
      </w:r>
      <w:r>
        <w:t>:</w:t>
      </w:r>
      <w:r w:rsidRPr="000935EF">
        <w:t xml:space="preserve"> </w:t>
      </w:r>
      <w:r w:rsidR="00EC5D41">
        <w:t>G</w:t>
      </w:r>
      <w:r w:rsidRPr="00D64F54">
        <w:t>overnment cannot be expected to have the range of staff and skills to define and administer policy on its own, but social justice advocacy organisations often have these resources, which can be quite technical and important for improving the quality of decisions.</w:t>
      </w:r>
    </w:p>
    <w:p w14:paraId="5A3595A1" w14:textId="5E3C0A6B" w:rsidR="0001169B" w:rsidRPr="00D64F54" w:rsidRDefault="0001169B" w:rsidP="00632A79">
      <w:pPr>
        <w:pStyle w:val="ListParagraph"/>
        <w:numPr>
          <w:ilvl w:val="0"/>
          <w:numId w:val="39"/>
        </w:numPr>
      </w:pPr>
      <w:r>
        <w:t xml:space="preserve">Promote a </w:t>
      </w:r>
      <w:r w:rsidRPr="00D64F54">
        <w:t>longer-term perspective</w:t>
      </w:r>
      <w:r>
        <w:t>:</w:t>
      </w:r>
      <w:r w:rsidRPr="00D64F54">
        <w:t xml:space="preserve"> </w:t>
      </w:r>
      <w:r w:rsidR="00EC5D41">
        <w:t>A</w:t>
      </w:r>
      <w:r w:rsidRPr="00D64F54">
        <w:t>nalysis and solutions to problems that extend beyond the five-year electoral cycle of government.</w:t>
      </w:r>
    </w:p>
    <w:p w14:paraId="54BA17E1" w14:textId="40688815" w:rsidR="0001169B" w:rsidRPr="0002576F" w:rsidRDefault="0001169B" w:rsidP="00632A79">
      <w:pPr>
        <w:pStyle w:val="ListParagraph"/>
        <w:numPr>
          <w:ilvl w:val="0"/>
          <w:numId w:val="39"/>
        </w:numPr>
      </w:pPr>
      <w:r>
        <w:t>A</w:t>
      </w:r>
      <w:r w:rsidRPr="000935EF">
        <w:t xml:space="preserve">ct </w:t>
      </w:r>
      <w:r>
        <w:t>as watchdogs of accountability</w:t>
      </w:r>
      <w:r w:rsidR="00987EF4">
        <w:t>:</w:t>
      </w:r>
      <w:r>
        <w:t xml:space="preserve"> </w:t>
      </w:r>
      <w:r w:rsidR="00EC5D41">
        <w:t>I</w:t>
      </w:r>
      <w:r w:rsidRPr="0002576F">
        <w:t>mproving both the surveillance and accountability of government.</w:t>
      </w:r>
    </w:p>
    <w:p w14:paraId="0232FD24" w14:textId="2604E7D9" w:rsidR="0001169B" w:rsidRDefault="0001169B" w:rsidP="00632A79">
      <w:pPr>
        <w:pStyle w:val="ListParagraph"/>
        <w:numPr>
          <w:ilvl w:val="0"/>
          <w:numId w:val="39"/>
        </w:numPr>
      </w:pPr>
      <w:r>
        <w:t>E</w:t>
      </w:r>
      <w:r w:rsidRPr="000935EF">
        <w:t>nable minorit</w:t>
      </w:r>
      <w:r>
        <w:t>y views to be heard</w:t>
      </w:r>
      <w:r w:rsidR="00987EF4">
        <w:t>: Including perspectives</w:t>
      </w:r>
      <w:r w:rsidRPr="00D64F54">
        <w:t xml:space="preserve"> that might otherwise be overlooked</w:t>
      </w:r>
      <w:r>
        <w:t>;</w:t>
      </w:r>
    </w:p>
    <w:p w14:paraId="7925FEDA" w14:textId="41D4DAFD" w:rsidR="0001169B" w:rsidRPr="00417A41" w:rsidRDefault="0001169B" w:rsidP="00632A79">
      <w:pPr>
        <w:pStyle w:val="ListParagraph"/>
        <w:numPr>
          <w:ilvl w:val="0"/>
          <w:numId w:val="39"/>
        </w:numPr>
      </w:pPr>
      <w:r>
        <w:t>Provide</w:t>
      </w:r>
      <w:r w:rsidRPr="00D64F54">
        <w:t xml:space="preserve"> ‘ground truth’ to government about situations of which it would not otherwise be aware</w:t>
      </w:r>
      <w:r w:rsidR="00BD5C64">
        <w:t>:</w:t>
      </w:r>
      <w:r w:rsidRPr="00D64F54">
        <w:t xml:space="preserve"> </w:t>
      </w:r>
      <w:r w:rsidR="00BD5C64">
        <w:t>r</w:t>
      </w:r>
      <w:r w:rsidRPr="00D64F54">
        <w:t>elated to this, as they seek to get fresh issues on the political agenda, they can serve as an early warning to government of upcoming issues that must, sooner or later, be addressed.</w:t>
      </w:r>
    </w:p>
    <w:p w14:paraId="41AEFAEB" w14:textId="053965F9" w:rsidR="0001169B" w:rsidRPr="00D64F54" w:rsidRDefault="0001169B" w:rsidP="00632A79">
      <w:pPr>
        <w:pStyle w:val="ListParagraph"/>
        <w:numPr>
          <w:ilvl w:val="0"/>
          <w:numId w:val="39"/>
        </w:numPr>
      </w:pPr>
      <w:r w:rsidRPr="00D64F54">
        <w:t>Communication and buy-in</w:t>
      </w:r>
      <w:r w:rsidR="00BD5C64">
        <w:t>:</w:t>
      </w:r>
      <w:r w:rsidRPr="00D64F54">
        <w:t xml:space="preserve"> </w:t>
      </w:r>
      <w:r w:rsidR="00EC5D41">
        <w:t>O</w:t>
      </w:r>
      <w:r w:rsidRPr="00D64F54">
        <w:t>rganisations involved in social justice advocacy can provide an important channel of communication from government to people and vice versa, including the achievement of buy-in or acquiescence in complex and difficult decisions.</w:t>
      </w:r>
    </w:p>
    <w:p w14:paraId="70DCCE61" w14:textId="0241458B" w:rsidR="0001169B" w:rsidRPr="00D64F54" w:rsidRDefault="00BD5C64" w:rsidP="00632A79">
      <w:pPr>
        <w:pStyle w:val="ListParagraph"/>
        <w:numPr>
          <w:ilvl w:val="0"/>
          <w:numId w:val="39"/>
        </w:numPr>
      </w:pPr>
      <w:r>
        <w:t>R</w:t>
      </w:r>
      <w:r w:rsidR="0001169B" w:rsidRPr="00D64F54">
        <w:t>ole in in the monitoring, implementation and enforcement of government decisions (laws, policies, procedures, protocols, strategies).</w:t>
      </w:r>
    </w:p>
    <w:p w14:paraId="61E6443D" w14:textId="696CA851" w:rsidR="0001169B" w:rsidRDefault="00987EF4" w:rsidP="00632A79">
      <w:pPr>
        <w:ind w:left="7200" w:firstLine="720"/>
      </w:pPr>
      <w:r w:rsidRPr="000935EF">
        <w:t xml:space="preserve">Harvey </w:t>
      </w:r>
      <w:r>
        <w:t>(2014)</w:t>
      </w:r>
    </w:p>
    <w:p w14:paraId="59D4D2AB" w14:textId="6D120C8B" w:rsidR="0001169B" w:rsidRDefault="00C44598" w:rsidP="00632A79">
      <w:r>
        <w:t xml:space="preserve">Desmond Tutu very aptly describes the </w:t>
      </w:r>
      <w:r w:rsidR="0094256D">
        <w:t xml:space="preserve">shift </w:t>
      </w:r>
      <w:r>
        <w:t xml:space="preserve">from individual level </w:t>
      </w:r>
      <w:r w:rsidR="0094256D">
        <w:t>advocacy to social justice advocacy in the following terms:</w:t>
      </w:r>
      <w:r w:rsidR="0094256D" w:rsidRPr="0094256D">
        <w:rPr>
          <w:lang w:val="en-US"/>
        </w:rPr>
        <w:t xml:space="preserve"> </w:t>
      </w:r>
      <w:r w:rsidR="0094256D" w:rsidRPr="0094256D">
        <w:rPr>
          <w:i/>
          <w:lang w:val="en-US"/>
        </w:rPr>
        <w:t>“There comes a point where we need to stop just pulling people out of the river.  We need to go upstream and find out why they’re falling in.”?</w:t>
      </w:r>
      <w:r w:rsidR="0094256D">
        <w:t xml:space="preserve">  </w:t>
      </w:r>
      <w:r w:rsidR="0001169B" w:rsidRPr="00B33993">
        <w:t>Th</w:t>
      </w:r>
      <w:r w:rsidR="0001169B">
        <w:t xml:space="preserve">is is appealing </w:t>
      </w:r>
      <w:r w:rsidR="0094256D">
        <w:t xml:space="preserve">particularly </w:t>
      </w:r>
      <w:r w:rsidR="0001169B">
        <w:t xml:space="preserve">because </w:t>
      </w:r>
      <w:r w:rsidR="0001169B" w:rsidRPr="00B33993">
        <w:t>many issues are so broad that their resolution require</w:t>
      </w:r>
      <w:r w:rsidR="0001169B">
        <w:t>s</w:t>
      </w:r>
      <w:r w:rsidR="0001169B" w:rsidRPr="00B33993">
        <w:t xml:space="preserve"> </w:t>
      </w:r>
      <w:r w:rsidR="0001169B">
        <w:t xml:space="preserve">sustained </w:t>
      </w:r>
      <w:r w:rsidR="0001169B" w:rsidRPr="00B33993">
        <w:t>government action at a national level.</w:t>
      </w:r>
      <w:r w:rsidR="0001169B">
        <w:t xml:space="preserve"> </w:t>
      </w:r>
    </w:p>
    <w:p w14:paraId="284258DD" w14:textId="0D815D07" w:rsidR="00036E41" w:rsidRDefault="00036E41" w:rsidP="00421D6A">
      <w:pPr>
        <w:pStyle w:val="Heading3"/>
      </w:pPr>
      <w:bookmarkStart w:id="6" w:name="_Toc394492935"/>
      <w:r>
        <w:t>What is social justice advocacy?</w:t>
      </w:r>
      <w:bookmarkEnd w:id="6"/>
      <w:r w:rsidR="003F36EE">
        <w:t xml:space="preserve"> </w:t>
      </w:r>
    </w:p>
    <w:p w14:paraId="7B37C43A" w14:textId="1FA11C03" w:rsidR="002D2C6A" w:rsidRDefault="002D2C6A" w:rsidP="002D2C6A">
      <w:pPr>
        <w:spacing w:line="240" w:lineRule="auto"/>
        <w:rPr>
          <w:iCs/>
        </w:rPr>
      </w:pPr>
      <w:r>
        <w:rPr>
          <w:iCs/>
        </w:rPr>
        <w:t xml:space="preserve">We </w:t>
      </w:r>
      <w:r w:rsidRPr="00B33993">
        <w:rPr>
          <w:iCs/>
        </w:rPr>
        <w:t>unde</w:t>
      </w:r>
      <w:r>
        <w:rPr>
          <w:iCs/>
        </w:rPr>
        <w:t xml:space="preserve">rstand social justice advocacy </w:t>
      </w:r>
      <w:r w:rsidRPr="00B33993">
        <w:rPr>
          <w:iCs/>
        </w:rPr>
        <w:t>to be planned, organised and sustained actions, the purpose of which is to influence public policy outcomes, with and/</w:t>
      </w:r>
      <w:r>
        <w:rPr>
          <w:iCs/>
        </w:rPr>
        <w:t xml:space="preserve"> on behalf of a vulnerable group or community</w:t>
      </w:r>
      <w:r w:rsidR="00140DED">
        <w:rPr>
          <w:iCs/>
        </w:rPr>
        <w:t xml:space="preserve"> or indeed the wider public good</w:t>
      </w:r>
      <w:r>
        <w:rPr>
          <w:iCs/>
        </w:rPr>
        <w:t xml:space="preserve">.  Social justice advocacy can be done by a range of organisations and groups. </w:t>
      </w:r>
    </w:p>
    <w:p w14:paraId="256FD265" w14:textId="77777777" w:rsidR="002D2C6A" w:rsidRPr="00B33993" w:rsidRDefault="002D2C6A" w:rsidP="002D2C6A">
      <w:pPr>
        <w:spacing w:line="240" w:lineRule="auto"/>
        <w:rPr>
          <w:iCs/>
        </w:rPr>
      </w:pPr>
      <w:r>
        <w:rPr>
          <w:iCs/>
        </w:rPr>
        <w:t>S</w:t>
      </w:r>
      <w:r w:rsidRPr="00B33993">
        <w:rPr>
          <w:iCs/>
        </w:rPr>
        <w:t>ocial justice advocacy is informed by experiences of poverty and exclusion, including through:</w:t>
      </w:r>
    </w:p>
    <w:p w14:paraId="4DE720C4" w14:textId="0609BADB" w:rsidR="002D2C6A" w:rsidRPr="00B33993" w:rsidRDefault="002D2C6A" w:rsidP="002D2C6A">
      <w:pPr>
        <w:pStyle w:val="ListParagraph"/>
        <w:numPr>
          <w:ilvl w:val="0"/>
          <w:numId w:val="1"/>
        </w:numPr>
        <w:spacing w:line="240" w:lineRule="auto"/>
        <w:rPr>
          <w:iCs/>
        </w:rPr>
      </w:pPr>
      <w:r w:rsidRPr="00B33993">
        <w:rPr>
          <w:iCs/>
        </w:rPr>
        <w:t>Providing individual/personal advocacy supports aimed at realising right and entitlements</w:t>
      </w:r>
      <w:r w:rsidR="00EC5D41">
        <w:rPr>
          <w:iCs/>
        </w:rPr>
        <w:t>.</w:t>
      </w:r>
    </w:p>
    <w:p w14:paraId="36E0E242" w14:textId="3E521C48" w:rsidR="002D2C6A" w:rsidRPr="00B33993" w:rsidRDefault="002D2C6A" w:rsidP="002D2C6A">
      <w:pPr>
        <w:pStyle w:val="ListParagraph"/>
        <w:numPr>
          <w:ilvl w:val="0"/>
          <w:numId w:val="1"/>
        </w:numPr>
        <w:spacing w:line="240" w:lineRule="auto"/>
        <w:rPr>
          <w:iCs/>
        </w:rPr>
      </w:pPr>
      <w:r w:rsidRPr="00B33993">
        <w:rPr>
          <w:iCs/>
        </w:rPr>
        <w:t>Delivering direct services and meeting social and economic needs</w:t>
      </w:r>
      <w:r w:rsidR="00EC5D41">
        <w:rPr>
          <w:iCs/>
        </w:rPr>
        <w:t>.</w:t>
      </w:r>
    </w:p>
    <w:p w14:paraId="6C54DCC2" w14:textId="6F13BCE3" w:rsidR="002D2C6A" w:rsidRPr="00B33993" w:rsidRDefault="002D2C6A" w:rsidP="002D2C6A">
      <w:pPr>
        <w:pStyle w:val="ListParagraph"/>
        <w:numPr>
          <w:ilvl w:val="0"/>
          <w:numId w:val="1"/>
        </w:numPr>
        <w:spacing w:line="240" w:lineRule="auto"/>
        <w:rPr>
          <w:iCs/>
        </w:rPr>
      </w:pPr>
      <w:r w:rsidRPr="00B33993">
        <w:rPr>
          <w:iCs/>
        </w:rPr>
        <w:t>Empowering and involving those experiencing the issues in the decisions that impact their lives</w:t>
      </w:r>
      <w:r w:rsidR="00EC5D41">
        <w:rPr>
          <w:iCs/>
        </w:rPr>
        <w:t>.</w:t>
      </w:r>
    </w:p>
    <w:p w14:paraId="0EA5F611" w14:textId="77777777" w:rsidR="002D2C6A" w:rsidRDefault="002D2C6A" w:rsidP="002D2C6A">
      <w:pPr>
        <w:pStyle w:val="ListParagraph"/>
        <w:numPr>
          <w:ilvl w:val="0"/>
          <w:numId w:val="1"/>
        </w:numPr>
        <w:spacing w:line="240" w:lineRule="auto"/>
        <w:rPr>
          <w:iCs/>
        </w:rPr>
      </w:pPr>
      <w:r w:rsidRPr="00B33993">
        <w:rPr>
          <w:iCs/>
        </w:rPr>
        <w:t>Producing research and analysis that illustrates the realities of poverty and social exclusion.</w:t>
      </w:r>
      <w:r w:rsidRPr="00F5687F">
        <w:rPr>
          <w:iCs/>
        </w:rPr>
        <w:t xml:space="preserve"> </w:t>
      </w:r>
    </w:p>
    <w:p w14:paraId="0FDD99C2" w14:textId="12988CE8" w:rsidR="002D2C6A" w:rsidRDefault="002D2C6A" w:rsidP="002D2C6A">
      <w:pPr>
        <w:spacing w:line="240" w:lineRule="auto"/>
        <w:rPr>
          <w:iCs/>
        </w:rPr>
      </w:pPr>
      <w:r w:rsidRPr="00F5687F">
        <w:rPr>
          <w:iCs/>
        </w:rPr>
        <w:lastRenderedPageBreak/>
        <w:t>It is targeted at a broad range of stakeholders including: policy-makers, civil and public servants</w:t>
      </w:r>
      <w:r w:rsidR="00BD5C64">
        <w:rPr>
          <w:iCs/>
        </w:rPr>
        <w:t>,</w:t>
      </w:r>
      <w:r w:rsidRPr="00F5687F">
        <w:rPr>
          <w:iCs/>
        </w:rPr>
        <w:t xml:space="preserve"> social partners</w:t>
      </w:r>
      <w:r w:rsidR="00BD5C64">
        <w:rPr>
          <w:iCs/>
        </w:rPr>
        <w:t>,</w:t>
      </w:r>
      <w:r w:rsidRPr="00F5687F">
        <w:rPr>
          <w:iCs/>
        </w:rPr>
        <w:t xml:space="preserve"> relevant international organisations, broader public opinion</w:t>
      </w:r>
      <w:r w:rsidR="00BD5C64">
        <w:rPr>
          <w:iCs/>
        </w:rPr>
        <w:t>,</w:t>
      </w:r>
      <w:r w:rsidRPr="00F5687F">
        <w:rPr>
          <w:iCs/>
        </w:rPr>
        <w:t xml:space="preserve"> and other relevant actors</w:t>
      </w:r>
      <w:r>
        <w:rPr>
          <w:iCs/>
        </w:rPr>
        <w:t>.</w:t>
      </w:r>
      <w:r w:rsidR="00987EF4">
        <w:rPr>
          <w:iCs/>
        </w:rPr>
        <w:t xml:space="preserve">  Social justice advocacy can focus on individual communities or on the broader public interest.</w:t>
      </w:r>
    </w:p>
    <w:p w14:paraId="43606811" w14:textId="77777777" w:rsidR="002D2C6A" w:rsidRPr="00B33993" w:rsidRDefault="002D2C6A" w:rsidP="002D2C6A">
      <w:pPr>
        <w:spacing w:line="240" w:lineRule="auto"/>
        <w:rPr>
          <w:iCs/>
        </w:rPr>
      </w:pPr>
      <w:r w:rsidRPr="00B33993">
        <w:rPr>
          <w:iCs/>
        </w:rPr>
        <w:t>While independent of formal institutions, social justice advocacy is a product and tool of democratic legitimacy. It is grounded in the premise that social change occurs through political systems and the state</w:t>
      </w:r>
      <w:r>
        <w:rPr>
          <w:iCs/>
        </w:rPr>
        <w:t>, supported democratically by the public,</w:t>
      </w:r>
      <w:r w:rsidRPr="00B33993">
        <w:rPr>
          <w:iCs/>
        </w:rPr>
        <w:t xml:space="preserve"> can be motivated to act in ways that realise greater equality and inclusion. </w:t>
      </w:r>
    </w:p>
    <w:p w14:paraId="44DE4167" w14:textId="210BC470" w:rsidR="002D2C6A" w:rsidRPr="002D2C6A" w:rsidRDefault="00582350" w:rsidP="00421D6A">
      <w:pPr>
        <w:pStyle w:val="Heading2"/>
      </w:pPr>
      <w:bookmarkStart w:id="7" w:name="_Toc394492936"/>
      <w:bookmarkStart w:id="8" w:name="_Toc394493472"/>
      <w:r>
        <w:t>1.2</w:t>
      </w:r>
      <w:r w:rsidR="002D2C6A">
        <w:tab/>
      </w:r>
      <w:r w:rsidR="002D2C6A" w:rsidRPr="002D2C6A">
        <w:t>Who is involved in social justice advocacy?</w:t>
      </w:r>
      <w:bookmarkEnd w:id="7"/>
      <w:bookmarkEnd w:id="8"/>
    </w:p>
    <w:p w14:paraId="083BDDA7" w14:textId="63423C49" w:rsidR="00D115C8" w:rsidRPr="00D115C8" w:rsidRDefault="00D115C8" w:rsidP="00421D6A">
      <w:pPr>
        <w:pStyle w:val="Heading3"/>
      </w:pPr>
      <w:bookmarkStart w:id="9" w:name="_Toc394492937"/>
      <w:r w:rsidRPr="00D115C8">
        <w:t>Civil society social justice advocacy</w:t>
      </w:r>
      <w:bookmarkEnd w:id="9"/>
    </w:p>
    <w:p w14:paraId="21632315" w14:textId="77777777" w:rsidR="00140DED" w:rsidRPr="00140DED" w:rsidRDefault="003B0C2E" w:rsidP="00140DED">
      <w:pPr>
        <w:spacing w:line="240" w:lineRule="auto"/>
      </w:pPr>
      <w:r w:rsidRPr="004960A8">
        <w:t>Civil society is the space bet</w:t>
      </w:r>
      <w:r w:rsidR="00CE1AE8">
        <w:t>ween the household and the s</w:t>
      </w:r>
      <w:r w:rsidRPr="004960A8">
        <w:t xml:space="preserve">tate. </w:t>
      </w:r>
      <w:r w:rsidR="00140DED">
        <w:t xml:space="preserve">Civil society fulfils many roles including providing alternatives, vision and acting as </w:t>
      </w:r>
      <w:r w:rsidR="00140DED" w:rsidRPr="00B33993">
        <w:t>a counterweight to the influence of commercial interests and unfettered state power. It represents two of the fundamental freedoms in a democracy – namely the right to free speech and the right to freedom of association.</w:t>
      </w:r>
    </w:p>
    <w:p w14:paraId="08AE70C8" w14:textId="2744F67B" w:rsidR="004960A8" w:rsidRPr="00D115C8" w:rsidRDefault="003B0C2E" w:rsidP="00D115C8">
      <w:pPr>
        <w:spacing w:line="240" w:lineRule="auto"/>
      </w:pPr>
      <w:r w:rsidRPr="004960A8">
        <w:t xml:space="preserve">Civil society organisations </w:t>
      </w:r>
      <w:r w:rsidR="00140DED">
        <w:t>that are involved in social justice advocacy can include</w:t>
      </w:r>
      <w:r w:rsidR="00BD5C64">
        <w:t>:</w:t>
      </w:r>
      <w:r w:rsidR="00140DED">
        <w:t xml:space="preserve"> </w:t>
      </w:r>
      <w:r w:rsidRPr="004960A8">
        <w:t>non-governmental</w:t>
      </w:r>
      <w:r w:rsidR="00140DED">
        <w:t xml:space="preserve"> and non-profit</w:t>
      </w:r>
      <w:r w:rsidRPr="004960A8">
        <w:t xml:space="preserve"> organisations the community and voluntary sector, trade unions</w:t>
      </w:r>
      <w:r w:rsidR="00BD5C64">
        <w:t>,</w:t>
      </w:r>
      <w:r w:rsidRPr="004960A8">
        <w:t xml:space="preserve"> professional associations, community</w:t>
      </w:r>
      <w:r w:rsidR="00BD5C64">
        <w:t>-</w:t>
      </w:r>
      <w:r w:rsidRPr="004960A8">
        <w:t>based organisations, faith-based organisations, social movements and networks, the media an</w:t>
      </w:r>
      <w:r w:rsidR="00CE1AE8">
        <w:t xml:space="preserve">d academia. </w:t>
      </w:r>
    </w:p>
    <w:p w14:paraId="37693BA8" w14:textId="7F0FA50A" w:rsidR="00582350" w:rsidRPr="00582350" w:rsidRDefault="00582350" w:rsidP="00421D6A">
      <w:pPr>
        <w:pStyle w:val="Heading3"/>
      </w:pPr>
      <w:bookmarkStart w:id="10" w:name="_Toc394492938"/>
      <w:r>
        <w:t>Community and v</w:t>
      </w:r>
      <w:r w:rsidRPr="00582350">
        <w:t>oluntary sector social justice advocacy</w:t>
      </w:r>
      <w:bookmarkEnd w:id="10"/>
    </w:p>
    <w:p w14:paraId="135CD7A6" w14:textId="5423FAF4" w:rsidR="00582350" w:rsidRDefault="00452D28" w:rsidP="00D115C8">
      <w:pPr>
        <w:spacing w:line="240" w:lineRule="auto"/>
        <w:rPr>
          <w:iCs/>
        </w:rPr>
      </w:pPr>
      <w:r>
        <w:rPr>
          <w:iCs/>
        </w:rPr>
        <w:t>While the community and voluntary sector does not have a monopoly on social justice advocacy</w:t>
      </w:r>
      <w:r w:rsidR="00EC5D41">
        <w:rPr>
          <w:iCs/>
        </w:rPr>
        <w:t>,</w:t>
      </w:r>
      <w:r>
        <w:rPr>
          <w:iCs/>
        </w:rPr>
        <w:t xml:space="preserve"> we </w:t>
      </w:r>
      <w:r w:rsidR="00D115C8">
        <w:rPr>
          <w:iCs/>
        </w:rPr>
        <w:t xml:space="preserve">made a decision to focus on </w:t>
      </w:r>
      <w:r w:rsidR="00EC5D41">
        <w:rPr>
          <w:iCs/>
        </w:rPr>
        <w:t xml:space="preserve">this </w:t>
      </w:r>
      <w:r w:rsidR="0001169B" w:rsidRPr="00B33993">
        <w:rPr>
          <w:iCs/>
        </w:rPr>
        <w:t>sector</w:t>
      </w:r>
      <w:r w:rsidR="004960A8" w:rsidRPr="00B33993">
        <w:rPr>
          <w:iCs/>
        </w:rPr>
        <w:t xml:space="preserve"> </w:t>
      </w:r>
      <w:r w:rsidR="00582350">
        <w:rPr>
          <w:iCs/>
        </w:rPr>
        <w:t>because</w:t>
      </w:r>
      <w:r w:rsidR="003534D8">
        <w:rPr>
          <w:iCs/>
        </w:rPr>
        <w:t xml:space="preserve"> </w:t>
      </w:r>
      <w:r w:rsidR="0094256D">
        <w:rPr>
          <w:iCs/>
        </w:rPr>
        <w:t xml:space="preserve">the </w:t>
      </w:r>
      <w:r w:rsidR="003534D8">
        <w:rPr>
          <w:iCs/>
        </w:rPr>
        <w:t xml:space="preserve">organisations </w:t>
      </w:r>
      <w:proofErr w:type="gramStart"/>
      <w:r w:rsidR="003534D8">
        <w:rPr>
          <w:iCs/>
        </w:rPr>
        <w:t>who  set</w:t>
      </w:r>
      <w:proofErr w:type="gramEnd"/>
      <w:r w:rsidR="003534D8">
        <w:rPr>
          <w:iCs/>
        </w:rPr>
        <w:t xml:space="preserve"> up </w:t>
      </w:r>
      <w:r w:rsidR="00EC5D41">
        <w:rPr>
          <w:iCs/>
        </w:rPr>
        <w:t>T</w:t>
      </w:r>
      <w:r w:rsidR="003534D8">
        <w:rPr>
          <w:iCs/>
        </w:rPr>
        <w:t>he Advocacy Initiative</w:t>
      </w:r>
      <w:r w:rsidR="002A69EC" w:rsidRPr="002A69EC">
        <w:rPr>
          <w:iCs/>
        </w:rPr>
        <w:t xml:space="preserve"> </w:t>
      </w:r>
      <w:r w:rsidR="002A69EC">
        <w:rPr>
          <w:iCs/>
        </w:rPr>
        <w:t xml:space="preserve">believed  they </w:t>
      </w:r>
      <w:r w:rsidR="00B52C2C">
        <w:rPr>
          <w:iCs/>
        </w:rPr>
        <w:t xml:space="preserve">play </w:t>
      </w:r>
      <w:r w:rsidR="002A69EC">
        <w:rPr>
          <w:iCs/>
        </w:rPr>
        <w:t xml:space="preserve"> a critical role  in addressing the structural causes of inequality and exclusion in our society and in ensuring the </w:t>
      </w:r>
      <w:r>
        <w:rPr>
          <w:iCs/>
        </w:rPr>
        <w:t xml:space="preserve">voices of those who are excluded </w:t>
      </w:r>
      <w:r w:rsidR="002A69EC">
        <w:rPr>
          <w:iCs/>
        </w:rPr>
        <w:t xml:space="preserve">and marginalised </w:t>
      </w:r>
      <w:r>
        <w:rPr>
          <w:iCs/>
        </w:rPr>
        <w:t xml:space="preserve">are heard.  </w:t>
      </w:r>
    </w:p>
    <w:p w14:paraId="00B2F523" w14:textId="77777777" w:rsidR="003534D8" w:rsidRDefault="00582350" w:rsidP="00D115C8">
      <w:pPr>
        <w:spacing w:line="240" w:lineRule="auto"/>
        <w:rPr>
          <w:rFonts w:cs="Calibri"/>
          <w:color w:val="000000"/>
        </w:rPr>
      </w:pPr>
      <w:r>
        <w:rPr>
          <w:iCs/>
        </w:rPr>
        <w:t xml:space="preserve">We believe that </w:t>
      </w:r>
      <w:r w:rsidRPr="003534D8">
        <w:rPr>
          <w:iCs/>
        </w:rPr>
        <w:t>community and voluntary sector social justice advocacy</w:t>
      </w:r>
      <w:r>
        <w:rPr>
          <w:iCs/>
        </w:rPr>
        <w:t xml:space="preserve"> </w:t>
      </w:r>
      <w:r w:rsidR="00D115C8">
        <w:rPr>
          <w:iCs/>
        </w:rPr>
        <w:t xml:space="preserve">includes </w:t>
      </w:r>
      <w:r w:rsidR="004960A8" w:rsidRPr="00B33993">
        <w:rPr>
          <w:iCs/>
        </w:rPr>
        <w:t>any action, compatible with the values and principles, aimed at promoting or resisting legislative or policy change.</w:t>
      </w:r>
      <w:r w:rsidR="00F5687F">
        <w:rPr>
          <w:rFonts w:cs="Calibri"/>
          <w:color w:val="000000"/>
        </w:rPr>
        <w:t xml:space="preserve"> </w:t>
      </w:r>
    </w:p>
    <w:p w14:paraId="275CD8C4" w14:textId="6025748D" w:rsidR="00182F69" w:rsidRDefault="00D115C8" w:rsidP="00D115C8">
      <w:pPr>
        <w:spacing w:line="240" w:lineRule="auto"/>
        <w:rPr>
          <w:rFonts w:cs="Calibri"/>
          <w:color w:val="000000"/>
        </w:rPr>
      </w:pPr>
      <w:r>
        <w:rPr>
          <w:rFonts w:cs="Calibri"/>
          <w:color w:val="000000"/>
        </w:rPr>
        <w:t xml:space="preserve">We believe that </w:t>
      </w:r>
      <w:r w:rsidR="00F5687F">
        <w:rPr>
          <w:rFonts w:cs="Calibri"/>
          <w:color w:val="000000"/>
        </w:rPr>
        <w:t xml:space="preserve">the </w:t>
      </w:r>
      <w:r w:rsidR="004960A8" w:rsidRPr="00B33993">
        <w:rPr>
          <w:rFonts w:cs="Calibri"/>
          <w:color w:val="000000"/>
        </w:rPr>
        <w:t xml:space="preserve">right to </w:t>
      </w:r>
      <w:r w:rsidR="008B64BB">
        <w:rPr>
          <w:rFonts w:cs="Calibri"/>
          <w:color w:val="000000"/>
        </w:rPr>
        <w:t>freedom of association and the r</w:t>
      </w:r>
      <w:r w:rsidR="004960A8" w:rsidRPr="00B33993">
        <w:rPr>
          <w:rFonts w:cs="Calibri"/>
          <w:color w:val="000000"/>
        </w:rPr>
        <w:t xml:space="preserve">ight to freedom of speech </w:t>
      </w:r>
      <w:r>
        <w:rPr>
          <w:rFonts w:cs="Calibri"/>
          <w:color w:val="000000"/>
        </w:rPr>
        <w:t xml:space="preserve">together with the connection to real experiences </w:t>
      </w:r>
      <w:r w:rsidR="003534D8">
        <w:rPr>
          <w:rFonts w:cs="Calibri"/>
          <w:color w:val="000000"/>
        </w:rPr>
        <w:t>is what</w:t>
      </w:r>
      <w:r w:rsidR="00F5687F">
        <w:rPr>
          <w:rFonts w:cs="Calibri"/>
          <w:color w:val="000000"/>
        </w:rPr>
        <w:t xml:space="preserve"> </w:t>
      </w:r>
      <w:proofErr w:type="gramStart"/>
      <w:r w:rsidR="004960A8" w:rsidRPr="00B33993">
        <w:rPr>
          <w:rFonts w:cs="Calibri"/>
          <w:color w:val="000000"/>
        </w:rPr>
        <w:t>give</w:t>
      </w:r>
      <w:r w:rsidR="00F5687F">
        <w:rPr>
          <w:rFonts w:cs="Calibri"/>
          <w:color w:val="000000"/>
        </w:rPr>
        <w:t>s</w:t>
      </w:r>
      <w:proofErr w:type="gramEnd"/>
      <w:r w:rsidR="004960A8" w:rsidRPr="00B33993">
        <w:rPr>
          <w:rFonts w:cs="Calibri"/>
          <w:color w:val="000000"/>
        </w:rPr>
        <w:t xml:space="preserve"> the community and voluntary sector</w:t>
      </w:r>
      <w:r w:rsidR="00F5687F">
        <w:rPr>
          <w:rFonts w:cs="Calibri"/>
          <w:color w:val="000000"/>
        </w:rPr>
        <w:t xml:space="preserve"> its</w:t>
      </w:r>
      <w:r w:rsidR="004960A8" w:rsidRPr="00B33993">
        <w:rPr>
          <w:rFonts w:cs="Calibri"/>
          <w:color w:val="000000"/>
        </w:rPr>
        <w:t xml:space="preserve"> legitimacy in terms of undertaking </w:t>
      </w:r>
      <w:r w:rsidR="00CE1AE8">
        <w:rPr>
          <w:rFonts w:cs="Calibri"/>
          <w:color w:val="000000"/>
        </w:rPr>
        <w:t xml:space="preserve">this </w:t>
      </w:r>
      <w:r w:rsidR="004960A8" w:rsidRPr="00B33993">
        <w:rPr>
          <w:rFonts w:cs="Calibri"/>
          <w:color w:val="000000"/>
        </w:rPr>
        <w:t>work.</w:t>
      </w:r>
      <w:r w:rsidR="00182F69">
        <w:rPr>
          <w:rFonts w:cs="Calibri"/>
          <w:color w:val="000000"/>
        </w:rPr>
        <w:t xml:space="preserve"> </w:t>
      </w:r>
    </w:p>
    <w:p w14:paraId="1D41BDC6" w14:textId="77777777" w:rsidR="00182F69" w:rsidRDefault="00182F69" w:rsidP="00F5687F">
      <w:pPr>
        <w:autoSpaceDE w:val="0"/>
        <w:autoSpaceDN w:val="0"/>
        <w:adjustRightInd w:val="0"/>
        <w:spacing w:after="33" w:line="240" w:lineRule="auto"/>
        <w:rPr>
          <w:rFonts w:cs="Calibri"/>
          <w:color w:val="000000"/>
        </w:rPr>
      </w:pPr>
    </w:p>
    <w:p w14:paraId="4CDB382D" w14:textId="77777777" w:rsidR="00721430" w:rsidRPr="00B33993" w:rsidRDefault="00721430" w:rsidP="004960A8">
      <w:pPr>
        <w:spacing w:line="240" w:lineRule="auto"/>
        <w:rPr>
          <w:color w:val="7030A0"/>
        </w:rPr>
      </w:pPr>
    </w:p>
    <w:p w14:paraId="19AE7F0C" w14:textId="77777777" w:rsidR="002A69EC" w:rsidRDefault="002A69EC">
      <w:pPr>
        <w:rPr>
          <w:color w:val="7030A0"/>
          <w:sz w:val="28"/>
          <w:szCs w:val="28"/>
        </w:rPr>
      </w:pPr>
      <w:r>
        <w:rPr>
          <w:color w:val="7030A0"/>
          <w:sz w:val="28"/>
          <w:szCs w:val="28"/>
        </w:rPr>
        <w:br w:type="page"/>
      </w:r>
    </w:p>
    <w:p w14:paraId="1106F5CF" w14:textId="5A055584" w:rsidR="001C1C94" w:rsidRPr="004D3C15" w:rsidRDefault="0076454D" w:rsidP="00421D6A">
      <w:pPr>
        <w:pStyle w:val="Heading1"/>
      </w:pPr>
      <w:bookmarkStart w:id="11" w:name="_Toc394492939"/>
      <w:bookmarkStart w:id="12" w:name="_Toc394493473"/>
      <w:r w:rsidRPr="004D3C15">
        <w:lastRenderedPageBreak/>
        <w:t>2</w:t>
      </w:r>
      <w:r w:rsidRPr="004D3C15">
        <w:tab/>
      </w:r>
      <w:r w:rsidR="00F62774" w:rsidRPr="004D3C15">
        <w:t xml:space="preserve">What we did - </w:t>
      </w:r>
      <w:r w:rsidR="001C1C94" w:rsidRPr="004D3C15">
        <w:t>The Story of the Advocacy Initiative</w:t>
      </w:r>
      <w:bookmarkEnd w:id="11"/>
      <w:bookmarkEnd w:id="12"/>
    </w:p>
    <w:p w14:paraId="16815008" w14:textId="77777777" w:rsidR="0001169B" w:rsidRDefault="0001169B" w:rsidP="008B64BB">
      <w:pPr>
        <w:spacing w:line="240" w:lineRule="auto"/>
      </w:pPr>
    </w:p>
    <w:p w14:paraId="00E18F62" w14:textId="77777777" w:rsidR="0001169B" w:rsidRPr="001C1C94" w:rsidRDefault="0001169B" w:rsidP="00421D6A">
      <w:pPr>
        <w:pStyle w:val="Heading2"/>
      </w:pPr>
      <w:bookmarkStart w:id="13" w:name="_Toc394492940"/>
      <w:bookmarkStart w:id="14" w:name="_Toc394493474"/>
      <w:r>
        <w:t xml:space="preserve">2.1 </w:t>
      </w:r>
      <w:r w:rsidRPr="001C1C94">
        <w:t xml:space="preserve">Initiative </w:t>
      </w:r>
      <w:r>
        <w:t>d</w:t>
      </w:r>
      <w:r w:rsidRPr="001C1C94">
        <w:t>evelopment</w:t>
      </w:r>
      <w:bookmarkEnd w:id="13"/>
      <w:bookmarkEnd w:id="14"/>
      <w:r w:rsidRPr="001C1C94">
        <w:t xml:space="preserve"> </w:t>
      </w:r>
    </w:p>
    <w:p w14:paraId="5528FCE1" w14:textId="77777777" w:rsidR="0056120D" w:rsidRDefault="0056120D" w:rsidP="008B64BB">
      <w:pPr>
        <w:spacing w:line="240" w:lineRule="auto"/>
      </w:pPr>
    </w:p>
    <w:p w14:paraId="45E0EBBF" w14:textId="77777777" w:rsidR="008B64BB" w:rsidRDefault="00F03709" w:rsidP="008B64BB">
      <w:pPr>
        <w:spacing w:line="240" w:lineRule="auto"/>
        <w:rPr>
          <w:color w:val="000000" w:themeColor="text1"/>
        </w:rPr>
      </w:pPr>
      <w:r>
        <w:t xml:space="preserve">Our </w:t>
      </w:r>
      <w:r w:rsidR="00F62774">
        <w:t xml:space="preserve">origins </w:t>
      </w:r>
      <w:r w:rsidR="001C1C94" w:rsidRPr="00B33993">
        <w:t xml:space="preserve">can be traced back a discussion in 2008 at the Centre for Non-Profit Management Summer School in Trinity College. Participants at that event agreed that the role and value of community and voluntary sector advocacy needed further exploration.  </w:t>
      </w:r>
      <w:r w:rsidR="001C1C94" w:rsidRPr="00B33993">
        <w:rPr>
          <w:color w:val="000000" w:themeColor="text1"/>
        </w:rPr>
        <w:t xml:space="preserve">There was also a concern among some of those attending that event that levels of hostility to community and voluntary advocacy work </w:t>
      </w:r>
      <w:r w:rsidR="008B64BB" w:rsidRPr="00B33993">
        <w:rPr>
          <w:color w:val="000000" w:themeColor="text1"/>
        </w:rPr>
        <w:t xml:space="preserve">sector </w:t>
      </w:r>
      <w:r w:rsidR="008B64BB">
        <w:rPr>
          <w:color w:val="000000" w:themeColor="text1"/>
        </w:rPr>
        <w:t xml:space="preserve">were </w:t>
      </w:r>
      <w:r w:rsidR="001C1C94" w:rsidRPr="00B33993">
        <w:rPr>
          <w:color w:val="000000" w:themeColor="text1"/>
        </w:rPr>
        <w:t>growing and this iss</w:t>
      </w:r>
      <w:r w:rsidR="008B64BB">
        <w:rPr>
          <w:color w:val="000000" w:themeColor="text1"/>
        </w:rPr>
        <w:t xml:space="preserve">ue merited further exploration. </w:t>
      </w:r>
    </w:p>
    <w:p w14:paraId="60C0CE8F" w14:textId="72FEB147" w:rsidR="008B64BB" w:rsidRPr="00B33993" w:rsidRDefault="008B64BB" w:rsidP="008B64BB">
      <w:pPr>
        <w:spacing w:line="240" w:lineRule="auto"/>
      </w:pPr>
      <w:r w:rsidRPr="00B33993">
        <w:t>A workshop to explore the current state of advocacy by the community and voluntary sector was held in October 2008</w:t>
      </w:r>
      <w:r>
        <w:t>. At its</w:t>
      </w:r>
      <w:r w:rsidRPr="00B33993">
        <w:t xml:space="preserve"> conclusion a small number of individuals agreed to progress this work further and a Steering Committee involving individuals from 17 organisations w</w:t>
      </w:r>
      <w:r w:rsidR="00E169C6">
        <w:t>ere</w:t>
      </w:r>
      <w:r w:rsidR="009B75D0">
        <w:t xml:space="preserve"> formed</w:t>
      </w:r>
      <w:r w:rsidRPr="00B33993">
        <w:t xml:space="preserve">. </w:t>
      </w:r>
    </w:p>
    <w:p w14:paraId="5FC12B6C" w14:textId="6EDA66B4" w:rsidR="001C1C94" w:rsidRPr="008B64BB" w:rsidRDefault="008B64BB" w:rsidP="008B64BB">
      <w:pPr>
        <w:spacing w:line="240" w:lineRule="auto"/>
        <w:rPr>
          <w:color w:val="000000" w:themeColor="text1"/>
        </w:rPr>
      </w:pPr>
      <w:r>
        <w:t xml:space="preserve">It should be noted that these </w:t>
      </w:r>
      <w:r w:rsidR="001C1C94" w:rsidRPr="00B33993">
        <w:t>discussi</w:t>
      </w:r>
      <w:r>
        <w:t xml:space="preserve">ons </w:t>
      </w:r>
      <w:r w:rsidR="00452D28">
        <w:t>took</w:t>
      </w:r>
      <w:r>
        <w:t xml:space="preserve"> place against a </w:t>
      </w:r>
      <w:r w:rsidR="001C1C94" w:rsidRPr="00B33993">
        <w:t xml:space="preserve">back drop of a serious, ongoing </w:t>
      </w:r>
      <w:r>
        <w:t>and deepening economic crisis which w</w:t>
      </w:r>
      <w:r w:rsidR="001C1C94" w:rsidRPr="00B33993">
        <w:t xml:space="preserve">as to have profound social and political ramifications. A crisis which seemed all the more severe coming as it did so quickly on the heels of the ‘Celtic </w:t>
      </w:r>
      <w:r w:rsidR="00B52C2C">
        <w:t>T</w:t>
      </w:r>
      <w:r w:rsidR="001C1C94" w:rsidRPr="00B33993">
        <w:t xml:space="preserve">iger’ years. </w:t>
      </w:r>
    </w:p>
    <w:p w14:paraId="71F7A572" w14:textId="77777777" w:rsidR="00DD355B" w:rsidRDefault="00F62774" w:rsidP="001C1C94">
      <w:pPr>
        <w:spacing w:line="240" w:lineRule="auto"/>
        <w:rPr>
          <w:rFonts w:cs="Calibri"/>
          <w:color w:val="000000"/>
        </w:rPr>
      </w:pPr>
      <w:r>
        <w:rPr>
          <w:rFonts w:cs="Calibri"/>
          <w:color w:val="000000"/>
        </w:rPr>
        <w:t xml:space="preserve">The </w:t>
      </w:r>
      <w:r w:rsidR="00DD355B">
        <w:rPr>
          <w:rFonts w:cs="Calibri"/>
          <w:color w:val="000000"/>
        </w:rPr>
        <w:t>Steering C</w:t>
      </w:r>
      <w:r w:rsidR="001C1C94" w:rsidRPr="00B33993">
        <w:rPr>
          <w:rFonts w:cs="Calibri"/>
          <w:color w:val="000000"/>
        </w:rPr>
        <w:t xml:space="preserve">ommittee worked together for about nine months to develop and agree the purpose and goals for a collaborative action to examine the current state of advocacy by community and voluntary organisations and its impact on relations with the state.  </w:t>
      </w:r>
    </w:p>
    <w:p w14:paraId="449303C5" w14:textId="44A9EF1B" w:rsidR="001C1C94" w:rsidRPr="00B33993" w:rsidRDefault="001C1C94" w:rsidP="001C1C94">
      <w:pPr>
        <w:spacing w:line="240" w:lineRule="auto"/>
        <w:rPr>
          <w:rFonts w:cs="Calibri"/>
          <w:color w:val="000000"/>
        </w:rPr>
      </w:pPr>
      <w:r w:rsidRPr="00B33993">
        <w:rPr>
          <w:rFonts w:cs="Calibri"/>
          <w:color w:val="000000"/>
        </w:rPr>
        <w:t xml:space="preserve">This work was </w:t>
      </w:r>
      <w:r w:rsidR="00DD355B">
        <w:rPr>
          <w:rFonts w:cs="Calibri"/>
          <w:color w:val="000000"/>
        </w:rPr>
        <w:t xml:space="preserve">developed and underpinned based on </w:t>
      </w:r>
      <w:r w:rsidRPr="00B33993">
        <w:rPr>
          <w:rFonts w:cs="Calibri"/>
          <w:color w:val="000000"/>
        </w:rPr>
        <w:t>a number of shared beliefs</w:t>
      </w:r>
      <w:r w:rsidRPr="00B33993">
        <w:t>:</w:t>
      </w:r>
    </w:p>
    <w:p w14:paraId="5704720F" w14:textId="77777777" w:rsidR="001C1C94" w:rsidRPr="00B33993" w:rsidRDefault="001C1C94" w:rsidP="009B4794">
      <w:pPr>
        <w:pStyle w:val="Default"/>
        <w:numPr>
          <w:ilvl w:val="0"/>
          <w:numId w:val="5"/>
        </w:numPr>
        <w:spacing w:after="33"/>
        <w:rPr>
          <w:rFonts w:asciiTheme="minorHAnsi" w:hAnsiTheme="minorHAnsi"/>
          <w:sz w:val="22"/>
          <w:szCs w:val="22"/>
        </w:rPr>
      </w:pPr>
      <w:r w:rsidRPr="00B33993">
        <w:rPr>
          <w:rFonts w:asciiTheme="minorHAnsi" w:hAnsiTheme="minorHAnsi"/>
          <w:sz w:val="22"/>
          <w:szCs w:val="22"/>
        </w:rPr>
        <w:t xml:space="preserve">A functioning civil society is critical to participative democracy, but within the Irish context there is often a lack of clarity and understanding about the importance of this role and the processes vital to its conduct. </w:t>
      </w:r>
    </w:p>
    <w:p w14:paraId="60988CF4" w14:textId="77777777" w:rsidR="001C1C94" w:rsidRPr="00B33993" w:rsidRDefault="001C1C94" w:rsidP="009B4794">
      <w:pPr>
        <w:pStyle w:val="Default"/>
        <w:numPr>
          <w:ilvl w:val="0"/>
          <w:numId w:val="5"/>
        </w:numPr>
        <w:spacing w:after="33"/>
        <w:rPr>
          <w:rFonts w:asciiTheme="minorHAnsi" w:hAnsiTheme="minorHAnsi"/>
          <w:sz w:val="22"/>
          <w:szCs w:val="22"/>
        </w:rPr>
      </w:pPr>
      <w:r w:rsidRPr="00B33993">
        <w:rPr>
          <w:rFonts w:asciiTheme="minorHAnsi" w:hAnsiTheme="minorHAnsi"/>
          <w:sz w:val="22"/>
          <w:szCs w:val="22"/>
        </w:rPr>
        <w:t xml:space="preserve">There exists little opportunity for a shared reflection among community and voluntary organisations </w:t>
      </w:r>
      <w:r w:rsidRPr="00B33993">
        <w:rPr>
          <w:rFonts w:asciiTheme="minorHAnsi" w:hAnsiTheme="minorHAnsi"/>
          <w:iCs/>
          <w:sz w:val="22"/>
          <w:szCs w:val="22"/>
        </w:rPr>
        <w:t>doing advocacy.</w:t>
      </w:r>
    </w:p>
    <w:p w14:paraId="57644EDF" w14:textId="4646BD5E" w:rsidR="001C1C94" w:rsidRPr="00B33993" w:rsidRDefault="001C1C94" w:rsidP="009B4794">
      <w:pPr>
        <w:pStyle w:val="Default"/>
        <w:numPr>
          <w:ilvl w:val="0"/>
          <w:numId w:val="5"/>
        </w:numPr>
        <w:spacing w:after="33"/>
        <w:rPr>
          <w:rFonts w:asciiTheme="minorHAnsi" w:hAnsiTheme="minorHAnsi"/>
          <w:sz w:val="22"/>
          <w:szCs w:val="22"/>
        </w:rPr>
      </w:pPr>
      <w:r w:rsidRPr="00B33993">
        <w:rPr>
          <w:rFonts w:asciiTheme="minorHAnsi" w:hAnsiTheme="minorHAnsi"/>
          <w:sz w:val="22"/>
          <w:szCs w:val="22"/>
        </w:rPr>
        <w:t xml:space="preserve">Advocacy meant different things to different people/organisations and that there is a need for a better understanding and ideally shared agreement of the role of advocacy in a democracy. </w:t>
      </w:r>
    </w:p>
    <w:p w14:paraId="3E329FDF" w14:textId="77777777" w:rsidR="001C1C94" w:rsidRPr="00B33993" w:rsidRDefault="001C1C94" w:rsidP="009B4794">
      <w:pPr>
        <w:pStyle w:val="Default"/>
        <w:numPr>
          <w:ilvl w:val="0"/>
          <w:numId w:val="5"/>
        </w:numPr>
        <w:spacing w:after="33"/>
        <w:rPr>
          <w:rFonts w:asciiTheme="minorHAnsi" w:hAnsiTheme="minorHAnsi"/>
          <w:sz w:val="22"/>
          <w:szCs w:val="22"/>
        </w:rPr>
      </w:pPr>
      <w:r w:rsidRPr="00B33993">
        <w:rPr>
          <w:rFonts w:asciiTheme="minorHAnsi" w:hAnsiTheme="minorHAnsi"/>
          <w:sz w:val="22"/>
          <w:szCs w:val="22"/>
        </w:rPr>
        <w:t xml:space="preserve">A need to explore the experience of advocacy from both the perspective of those who were on the receiving end of advocacy – the politicians and senior civil servants – as well as from the perspective of those doing the advocacy. </w:t>
      </w:r>
    </w:p>
    <w:p w14:paraId="372C0634" w14:textId="77777777" w:rsidR="001C1C94" w:rsidRDefault="001C1C94" w:rsidP="009B4794">
      <w:pPr>
        <w:pStyle w:val="Default"/>
        <w:numPr>
          <w:ilvl w:val="0"/>
          <w:numId w:val="5"/>
        </w:numPr>
        <w:spacing w:after="33"/>
        <w:rPr>
          <w:rFonts w:asciiTheme="minorHAnsi" w:hAnsiTheme="minorHAnsi"/>
          <w:sz w:val="22"/>
          <w:szCs w:val="22"/>
        </w:rPr>
      </w:pPr>
      <w:r w:rsidRPr="00B33993">
        <w:rPr>
          <w:rFonts w:asciiTheme="minorHAnsi" w:hAnsiTheme="minorHAnsi"/>
          <w:sz w:val="22"/>
          <w:szCs w:val="22"/>
        </w:rPr>
        <w:t xml:space="preserve">A need to look at the effectiveness of current advocacy work in order to learn how it might be enhanced. </w:t>
      </w:r>
    </w:p>
    <w:p w14:paraId="2EF6CAB7" w14:textId="77777777" w:rsidR="00DD355B" w:rsidRPr="00B33993" w:rsidRDefault="00DD355B" w:rsidP="00DD355B">
      <w:pPr>
        <w:pStyle w:val="Default"/>
        <w:spacing w:after="33"/>
        <w:ind w:left="720"/>
        <w:rPr>
          <w:rFonts w:asciiTheme="minorHAnsi" w:hAnsiTheme="minorHAnsi"/>
          <w:sz w:val="22"/>
          <w:szCs w:val="22"/>
        </w:rPr>
      </w:pPr>
    </w:p>
    <w:p w14:paraId="4CCB8F71" w14:textId="2FE3DFEA" w:rsidR="001C1C94" w:rsidRPr="00B33993" w:rsidRDefault="00DD0D63" w:rsidP="001C1C94">
      <w:pPr>
        <w:spacing w:line="240" w:lineRule="auto"/>
        <w:rPr>
          <w:rFonts w:cs="Calibri"/>
          <w:color w:val="000000"/>
        </w:rPr>
      </w:pPr>
      <w:r>
        <w:rPr>
          <w:rFonts w:cs="Calibri"/>
          <w:color w:val="000000"/>
        </w:rPr>
        <w:t>This</w:t>
      </w:r>
      <w:r w:rsidR="001C1C94" w:rsidRPr="00B33993">
        <w:rPr>
          <w:rFonts w:cs="Calibri"/>
          <w:color w:val="000000"/>
        </w:rPr>
        <w:t xml:space="preserve"> </w:t>
      </w:r>
      <w:r w:rsidR="00DD355B">
        <w:rPr>
          <w:rFonts w:cs="Calibri"/>
          <w:color w:val="000000"/>
        </w:rPr>
        <w:t>Steering C</w:t>
      </w:r>
      <w:r w:rsidR="001C1C94" w:rsidRPr="00B33993">
        <w:rPr>
          <w:rFonts w:cs="Calibri"/>
          <w:color w:val="000000"/>
        </w:rPr>
        <w:t>ommittee sourced funding to undertake the initial research phase of this work from Atlantic Philanthropies</w:t>
      </w:r>
      <w:r w:rsidR="00DD355B">
        <w:rPr>
          <w:rFonts w:cs="Calibri"/>
          <w:color w:val="000000"/>
        </w:rPr>
        <w:t xml:space="preserve">. </w:t>
      </w:r>
      <w:r w:rsidR="001C1C94" w:rsidRPr="00B33993">
        <w:rPr>
          <w:rFonts w:cs="Calibri"/>
          <w:color w:val="000000"/>
        </w:rPr>
        <w:t xml:space="preserve"> </w:t>
      </w:r>
      <w:r w:rsidR="00DD355B">
        <w:rPr>
          <w:rFonts w:cs="Calibri"/>
          <w:color w:val="000000"/>
        </w:rPr>
        <w:t>F</w:t>
      </w:r>
      <w:r w:rsidR="001C1C94" w:rsidRPr="00B33993">
        <w:rPr>
          <w:rFonts w:cs="Calibri"/>
          <w:color w:val="000000"/>
        </w:rPr>
        <w:t xml:space="preserve">ollowing a competitive tendering process this </w:t>
      </w:r>
      <w:r w:rsidR="00DD355B">
        <w:rPr>
          <w:rFonts w:cs="Calibri"/>
          <w:color w:val="000000"/>
        </w:rPr>
        <w:t xml:space="preserve">phase of the </w:t>
      </w:r>
      <w:r w:rsidR="001C1C94" w:rsidRPr="00B33993">
        <w:rPr>
          <w:rFonts w:cs="Calibri"/>
          <w:color w:val="000000"/>
        </w:rPr>
        <w:t xml:space="preserve">work </w:t>
      </w:r>
      <w:r w:rsidR="00DD355B">
        <w:rPr>
          <w:rFonts w:cs="Calibri"/>
          <w:color w:val="000000"/>
        </w:rPr>
        <w:t>got underway in Dec</w:t>
      </w:r>
      <w:r w:rsidR="003F36EE">
        <w:rPr>
          <w:rFonts w:cs="Calibri"/>
          <w:color w:val="000000"/>
        </w:rPr>
        <w:t>ember</w:t>
      </w:r>
      <w:r w:rsidR="00DD355B">
        <w:rPr>
          <w:rFonts w:cs="Calibri"/>
          <w:color w:val="000000"/>
        </w:rPr>
        <w:t xml:space="preserve"> 2009.  It </w:t>
      </w:r>
      <w:r w:rsidR="001C1C94" w:rsidRPr="00B33993">
        <w:rPr>
          <w:rFonts w:cs="Calibri"/>
          <w:color w:val="000000"/>
        </w:rPr>
        <w:t>involved an online survey of community and voluntary organisations as well as interviews and consultations with community and voluntary representatives and others with an interest in community</w:t>
      </w:r>
      <w:r w:rsidR="00DD355B">
        <w:rPr>
          <w:rFonts w:cs="Calibri"/>
          <w:color w:val="000000"/>
        </w:rPr>
        <w:t xml:space="preserve"> and voluntary sector advocacy and it </w:t>
      </w:r>
      <w:r w:rsidR="001C1C94" w:rsidRPr="00B33993">
        <w:rPr>
          <w:rFonts w:cs="Calibri"/>
          <w:color w:val="000000"/>
        </w:rPr>
        <w:t>concluded with the identification of a series of recom</w:t>
      </w:r>
      <w:r w:rsidR="00FE4C86">
        <w:rPr>
          <w:rFonts w:cs="Calibri"/>
          <w:color w:val="000000"/>
        </w:rPr>
        <w:t xml:space="preserve">mendations for further action. </w:t>
      </w:r>
      <w:r w:rsidR="001C1C94" w:rsidRPr="00B33993">
        <w:rPr>
          <w:rFonts w:cs="Calibri"/>
          <w:color w:val="000000"/>
        </w:rPr>
        <w:t xml:space="preserve">The Steering Committee subsequently used these </w:t>
      </w:r>
      <w:r w:rsidR="00FE4C86">
        <w:rPr>
          <w:rFonts w:cs="Calibri"/>
          <w:color w:val="000000"/>
        </w:rPr>
        <w:t>r</w:t>
      </w:r>
      <w:r w:rsidR="00FE4C86" w:rsidRPr="00B33993">
        <w:rPr>
          <w:rFonts w:cs="Calibri"/>
          <w:color w:val="000000"/>
        </w:rPr>
        <w:t>ecommendations</w:t>
      </w:r>
      <w:r w:rsidR="001C1C94" w:rsidRPr="00B33993">
        <w:rPr>
          <w:rFonts w:cs="Calibri"/>
          <w:color w:val="000000"/>
        </w:rPr>
        <w:t xml:space="preserve"> as the basis for the development of a detailed three year work programme and </w:t>
      </w:r>
      <w:r w:rsidR="00FE4C86">
        <w:rPr>
          <w:rFonts w:cs="Calibri"/>
          <w:color w:val="000000"/>
        </w:rPr>
        <w:t xml:space="preserve">a </w:t>
      </w:r>
      <w:r w:rsidR="001C1C94" w:rsidRPr="00B33993">
        <w:rPr>
          <w:rFonts w:cs="Calibri"/>
          <w:color w:val="000000"/>
        </w:rPr>
        <w:t xml:space="preserve">further proposal for funding which </w:t>
      </w:r>
      <w:r w:rsidR="003F36EE">
        <w:rPr>
          <w:rFonts w:cs="Calibri"/>
          <w:color w:val="000000"/>
        </w:rPr>
        <w:t xml:space="preserve">the </w:t>
      </w:r>
      <w:r w:rsidR="001C1C94" w:rsidRPr="00B33993">
        <w:rPr>
          <w:rFonts w:cs="Calibri"/>
          <w:color w:val="000000"/>
        </w:rPr>
        <w:t>Atlantic Philanthropies ultimately also funded</w:t>
      </w:r>
      <w:r w:rsidR="001C1C94" w:rsidRPr="00B33993">
        <w:rPr>
          <w:lang w:val="en-US"/>
        </w:rPr>
        <w:t xml:space="preserve">.  </w:t>
      </w:r>
      <w:r>
        <w:rPr>
          <w:rFonts w:cs="Calibri"/>
          <w:color w:val="000000"/>
        </w:rPr>
        <w:t xml:space="preserve">Our </w:t>
      </w:r>
      <w:r w:rsidR="001C1C94" w:rsidRPr="00B33993">
        <w:rPr>
          <w:rFonts w:cs="Calibri"/>
          <w:color w:val="000000"/>
        </w:rPr>
        <w:t xml:space="preserve">formal three year Advocacy Initiative </w:t>
      </w:r>
      <w:r w:rsidR="00452D28">
        <w:rPr>
          <w:rFonts w:cs="Calibri"/>
          <w:color w:val="000000"/>
        </w:rPr>
        <w:t>p</w:t>
      </w:r>
      <w:r w:rsidR="00FE4C86">
        <w:rPr>
          <w:rFonts w:cs="Calibri"/>
          <w:color w:val="000000"/>
        </w:rPr>
        <w:t xml:space="preserve">rogramme </w:t>
      </w:r>
      <w:r w:rsidR="001C1C94" w:rsidRPr="00B33993">
        <w:rPr>
          <w:rFonts w:cs="Calibri"/>
          <w:color w:val="000000"/>
        </w:rPr>
        <w:t>commenced in August 2011</w:t>
      </w:r>
      <w:r w:rsidR="006A5A41">
        <w:rPr>
          <w:rFonts w:cs="Calibri"/>
          <w:color w:val="000000"/>
        </w:rPr>
        <w:t xml:space="preserve"> and end</w:t>
      </w:r>
      <w:r w:rsidR="00BD5C64">
        <w:rPr>
          <w:rFonts w:cs="Calibri"/>
          <w:color w:val="000000"/>
        </w:rPr>
        <w:t>s</w:t>
      </w:r>
      <w:r w:rsidR="006A5A41">
        <w:rPr>
          <w:rFonts w:cs="Calibri"/>
          <w:color w:val="000000"/>
        </w:rPr>
        <w:t xml:space="preserve"> in August 2014.</w:t>
      </w:r>
    </w:p>
    <w:p w14:paraId="384ACE66" w14:textId="77777777" w:rsidR="001C1C94" w:rsidRDefault="001C1C94" w:rsidP="001C1C94">
      <w:pPr>
        <w:pStyle w:val="Default"/>
        <w:ind w:left="720"/>
        <w:rPr>
          <w:rFonts w:asciiTheme="minorHAnsi" w:hAnsiTheme="minorHAnsi"/>
          <w:sz w:val="22"/>
          <w:szCs w:val="22"/>
        </w:rPr>
      </w:pPr>
    </w:p>
    <w:p w14:paraId="5411D5DE" w14:textId="77777777" w:rsidR="009B75D0" w:rsidRDefault="009B75D0" w:rsidP="001C1C94">
      <w:pPr>
        <w:pStyle w:val="Default"/>
        <w:ind w:left="720"/>
        <w:rPr>
          <w:rFonts w:asciiTheme="minorHAnsi" w:hAnsiTheme="minorHAnsi"/>
          <w:sz w:val="22"/>
          <w:szCs w:val="22"/>
        </w:rPr>
      </w:pPr>
    </w:p>
    <w:p w14:paraId="4B4698E3" w14:textId="77777777" w:rsidR="009B75D0" w:rsidRDefault="009B75D0" w:rsidP="001C1C94">
      <w:pPr>
        <w:pStyle w:val="Default"/>
        <w:ind w:left="720"/>
        <w:rPr>
          <w:rFonts w:asciiTheme="minorHAnsi" w:hAnsiTheme="minorHAnsi"/>
          <w:sz w:val="22"/>
          <w:szCs w:val="22"/>
        </w:rPr>
      </w:pPr>
    </w:p>
    <w:p w14:paraId="6E64243D" w14:textId="77777777" w:rsidR="009B75D0" w:rsidRDefault="009B75D0" w:rsidP="001C1C94">
      <w:pPr>
        <w:pStyle w:val="Default"/>
        <w:ind w:left="720"/>
        <w:rPr>
          <w:rFonts w:asciiTheme="minorHAnsi" w:hAnsiTheme="minorHAnsi"/>
          <w:sz w:val="22"/>
          <w:szCs w:val="22"/>
        </w:rPr>
      </w:pPr>
    </w:p>
    <w:p w14:paraId="12CF27F5" w14:textId="77777777" w:rsidR="009B75D0" w:rsidRPr="00B33993" w:rsidRDefault="009B75D0" w:rsidP="001C1C94">
      <w:pPr>
        <w:pStyle w:val="Default"/>
        <w:ind w:left="720"/>
        <w:rPr>
          <w:rFonts w:asciiTheme="minorHAnsi" w:hAnsiTheme="minorHAnsi"/>
          <w:sz w:val="22"/>
          <w:szCs w:val="22"/>
        </w:rPr>
      </w:pPr>
    </w:p>
    <w:p w14:paraId="28DCEB8F" w14:textId="77777777" w:rsidR="001C1C94" w:rsidRPr="00B33993" w:rsidRDefault="001C1C94" w:rsidP="00421D6A">
      <w:pPr>
        <w:pStyle w:val="Heading2"/>
      </w:pPr>
      <w:bookmarkStart w:id="15" w:name="_Toc394492941"/>
      <w:bookmarkStart w:id="16" w:name="_Toc394493475"/>
      <w:r w:rsidRPr="00B33993">
        <w:lastRenderedPageBreak/>
        <w:t>2.3 Overall objective &amp; goals</w:t>
      </w:r>
      <w:bookmarkEnd w:id="15"/>
      <w:bookmarkEnd w:id="16"/>
      <w:r w:rsidRPr="00B33993">
        <w:t xml:space="preserve"> </w:t>
      </w:r>
    </w:p>
    <w:p w14:paraId="3E4591E2" w14:textId="1F4AE0D7" w:rsidR="001C1C94" w:rsidRPr="00B33993" w:rsidRDefault="00DD0D63" w:rsidP="001C1C94">
      <w:pPr>
        <w:spacing w:line="240" w:lineRule="auto"/>
      </w:pPr>
      <w:r>
        <w:rPr>
          <w:rFonts w:cs="Calibri"/>
          <w:color w:val="000000"/>
        </w:rPr>
        <w:t xml:space="preserve">Our </w:t>
      </w:r>
      <w:r w:rsidR="001C1C94" w:rsidRPr="00B33993">
        <w:rPr>
          <w:rFonts w:cs="Calibri"/>
          <w:color w:val="000000"/>
        </w:rPr>
        <w:t xml:space="preserve">overall objective was to </w:t>
      </w:r>
      <w:r w:rsidR="001C1C94" w:rsidRPr="00B33993">
        <w:t xml:space="preserve">contribute to better social justice outcomes, by reframing the relationship between the state and social justice advocates. </w:t>
      </w:r>
      <w:r>
        <w:t xml:space="preserve">We were also interested </w:t>
      </w:r>
      <w:r w:rsidR="001C1C94" w:rsidRPr="00B33993">
        <w:t xml:space="preserve">in exploring the idea that in the </w:t>
      </w:r>
      <w:r w:rsidR="00FE4C86">
        <w:t xml:space="preserve">then </w:t>
      </w:r>
      <w:r w:rsidR="001C1C94" w:rsidRPr="00B33993">
        <w:t>economic and political c</w:t>
      </w:r>
      <w:r w:rsidR="009B75D0">
        <w:t>limate of cutbacks</w:t>
      </w:r>
      <w:r w:rsidR="00FE4C86">
        <w:t xml:space="preserve"> there was</w:t>
      </w:r>
      <w:r w:rsidR="001C1C94" w:rsidRPr="00B33993">
        <w:t xml:space="preserve"> a threat to advocacy.</w:t>
      </w:r>
    </w:p>
    <w:p w14:paraId="0DFA6924" w14:textId="0DB0D879" w:rsidR="001C1C94" w:rsidRPr="00B33993" w:rsidRDefault="001C1C94" w:rsidP="001C1C94">
      <w:pPr>
        <w:spacing w:line="240" w:lineRule="auto"/>
      </w:pPr>
      <w:r w:rsidRPr="00B33993">
        <w:t xml:space="preserve">The specific goals of </w:t>
      </w:r>
      <w:r w:rsidR="00B52C2C">
        <w:t>T</w:t>
      </w:r>
      <w:r w:rsidRPr="00B33993">
        <w:t xml:space="preserve">he </w:t>
      </w:r>
      <w:r w:rsidR="00B52C2C">
        <w:t xml:space="preserve">Advocacy </w:t>
      </w:r>
      <w:r w:rsidRPr="00B33993">
        <w:t>Initiative were:</w:t>
      </w:r>
    </w:p>
    <w:p w14:paraId="5AA03BFB" w14:textId="77777777" w:rsidR="001C1C94" w:rsidRPr="00B33993" w:rsidRDefault="001C1C94" w:rsidP="009B4794">
      <w:pPr>
        <w:numPr>
          <w:ilvl w:val="0"/>
          <w:numId w:val="4"/>
        </w:numPr>
        <w:spacing w:before="100" w:beforeAutospacing="1" w:after="100" w:afterAutospacing="1" w:line="240" w:lineRule="auto"/>
        <w:rPr>
          <w:color w:val="000000" w:themeColor="text1"/>
        </w:rPr>
      </w:pPr>
      <w:r w:rsidRPr="00B33993">
        <w:rPr>
          <w:color w:val="000000" w:themeColor="text1"/>
        </w:rPr>
        <w:t>To contribute to the knowledge and understanding of social justice advocacy.</w:t>
      </w:r>
    </w:p>
    <w:p w14:paraId="5029E4F9" w14:textId="77777777" w:rsidR="001C1C94" w:rsidRPr="00B33993" w:rsidRDefault="001C1C94" w:rsidP="009B4794">
      <w:pPr>
        <w:numPr>
          <w:ilvl w:val="0"/>
          <w:numId w:val="4"/>
        </w:numPr>
        <w:spacing w:before="100" w:beforeAutospacing="1" w:after="100" w:afterAutospacing="1" w:line="240" w:lineRule="auto"/>
        <w:rPr>
          <w:color w:val="000000" w:themeColor="text1"/>
        </w:rPr>
      </w:pPr>
      <w:r w:rsidRPr="00B33993">
        <w:rPr>
          <w:color w:val="000000" w:themeColor="text1"/>
        </w:rPr>
        <w:t>To stimulate informed debate and reflection on social justice advocacy within the community and voluntary sector and with the state.</w:t>
      </w:r>
    </w:p>
    <w:p w14:paraId="724207A9" w14:textId="77777777" w:rsidR="001C1C94" w:rsidRPr="00B33993" w:rsidRDefault="001C1C94" w:rsidP="009B4794">
      <w:pPr>
        <w:numPr>
          <w:ilvl w:val="0"/>
          <w:numId w:val="4"/>
        </w:numPr>
        <w:spacing w:before="100" w:beforeAutospacing="1" w:after="100" w:afterAutospacing="1" w:line="240" w:lineRule="auto"/>
        <w:rPr>
          <w:color w:val="000000" w:themeColor="text1"/>
        </w:rPr>
      </w:pPr>
      <w:r w:rsidRPr="00B33993">
        <w:rPr>
          <w:color w:val="000000" w:themeColor="text1"/>
        </w:rPr>
        <w:t>To facilitate the strengthening of the capacity of social justice advocates.</w:t>
      </w:r>
    </w:p>
    <w:p w14:paraId="537906F4" w14:textId="77777777" w:rsidR="001C1C94" w:rsidRPr="00B33993" w:rsidRDefault="001C1C94" w:rsidP="00421D6A">
      <w:pPr>
        <w:pStyle w:val="Heading2"/>
      </w:pPr>
      <w:bookmarkStart w:id="17" w:name="_Toc394492942"/>
      <w:bookmarkStart w:id="18" w:name="_Toc394493476"/>
      <w:r w:rsidRPr="00B33993">
        <w:t>2.4 Values and principles</w:t>
      </w:r>
      <w:bookmarkEnd w:id="17"/>
      <w:bookmarkEnd w:id="18"/>
    </w:p>
    <w:p w14:paraId="650C9C4D" w14:textId="77777777" w:rsidR="001C1C94" w:rsidRPr="00B33993" w:rsidRDefault="00DD0D63" w:rsidP="001C1C94">
      <w:pPr>
        <w:pStyle w:val="Default"/>
        <w:rPr>
          <w:rFonts w:asciiTheme="minorHAnsi" w:hAnsiTheme="minorHAnsi"/>
          <w:sz w:val="22"/>
          <w:szCs w:val="22"/>
        </w:rPr>
      </w:pPr>
      <w:r>
        <w:rPr>
          <w:rFonts w:asciiTheme="minorHAnsi" w:hAnsiTheme="minorHAnsi"/>
          <w:sz w:val="22"/>
          <w:szCs w:val="22"/>
        </w:rPr>
        <w:t xml:space="preserve">We </w:t>
      </w:r>
      <w:r w:rsidR="001C1C94" w:rsidRPr="00B33993">
        <w:rPr>
          <w:rFonts w:asciiTheme="minorHAnsi" w:hAnsiTheme="minorHAnsi"/>
          <w:sz w:val="22"/>
          <w:szCs w:val="22"/>
        </w:rPr>
        <w:t xml:space="preserve">were committed to addressing the causes and consequences of inequality, poverty, social exclusion and discrimination. </w:t>
      </w:r>
      <w:r>
        <w:rPr>
          <w:rFonts w:asciiTheme="minorHAnsi" w:hAnsiTheme="minorHAnsi"/>
          <w:sz w:val="22"/>
          <w:szCs w:val="22"/>
        </w:rPr>
        <w:t xml:space="preserve">Our </w:t>
      </w:r>
      <w:r w:rsidR="001C1C94" w:rsidRPr="00B33993">
        <w:rPr>
          <w:rFonts w:asciiTheme="minorHAnsi" w:hAnsiTheme="minorHAnsi"/>
          <w:sz w:val="22"/>
          <w:szCs w:val="22"/>
        </w:rPr>
        <w:t xml:space="preserve">aim was to work constantly to build a society that is founded on the principles of justice, equality, human rights, human dignity and social inclusion. </w:t>
      </w:r>
      <w:r>
        <w:rPr>
          <w:rFonts w:asciiTheme="minorHAnsi" w:hAnsiTheme="minorHAnsi"/>
          <w:sz w:val="22"/>
          <w:szCs w:val="22"/>
        </w:rPr>
        <w:t xml:space="preserve">We </w:t>
      </w:r>
      <w:r w:rsidR="001C1C94" w:rsidRPr="00B33993">
        <w:rPr>
          <w:rFonts w:asciiTheme="minorHAnsi" w:hAnsiTheme="minorHAnsi"/>
          <w:sz w:val="22"/>
          <w:szCs w:val="22"/>
        </w:rPr>
        <w:t>believed that these values and principles are at the core of social justice advocacy.</w:t>
      </w:r>
    </w:p>
    <w:p w14:paraId="2FD511C3" w14:textId="77777777" w:rsidR="001C1C94" w:rsidRPr="00B33993" w:rsidRDefault="001C1C94" w:rsidP="001C1C94">
      <w:pPr>
        <w:spacing w:line="240" w:lineRule="auto"/>
        <w:rPr>
          <w:color w:val="7030A0"/>
        </w:rPr>
      </w:pPr>
    </w:p>
    <w:p w14:paraId="1C172CE0" w14:textId="77777777" w:rsidR="001C1C94" w:rsidRPr="00B33993" w:rsidRDefault="001C1C94" w:rsidP="00421D6A">
      <w:pPr>
        <w:pStyle w:val="Heading2"/>
      </w:pPr>
      <w:bookmarkStart w:id="19" w:name="_Toc394492943"/>
      <w:bookmarkStart w:id="20" w:name="_Toc394493477"/>
      <w:r w:rsidRPr="00B33993">
        <w:t>2.5 Funding &amp; resources</w:t>
      </w:r>
      <w:bookmarkEnd w:id="19"/>
      <w:bookmarkEnd w:id="20"/>
    </w:p>
    <w:p w14:paraId="40214858" w14:textId="77777777" w:rsidR="001C1C94" w:rsidRPr="00B33993" w:rsidRDefault="00DD0D63" w:rsidP="001C1C94">
      <w:pPr>
        <w:spacing w:line="240" w:lineRule="auto"/>
        <w:rPr>
          <w:rFonts w:cs="Calibri"/>
          <w:color w:val="000000"/>
        </w:rPr>
      </w:pPr>
      <w:r>
        <w:rPr>
          <w:rFonts w:cs="Calibri"/>
          <w:color w:val="000000"/>
        </w:rPr>
        <w:t xml:space="preserve">We </w:t>
      </w:r>
      <w:r w:rsidR="00FE4C86">
        <w:rPr>
          <w:rFonts w:cs="Calibri"/>
          <w:color w:val="000000"/>
        </w:rPr>
        <w:t>received two tranches of funding from Atlantic Philanthropies as follows:</w:t>
      </w:r>
    </w:p>
    <w:p w14:paraId="57E12FEF" w14:textId="77777777" w:rsidR="001C1C94" w:rsidRPr="00FE4C86" w:rsidRDefault="004611C7" w:rsidP="009B4794">
      <w:pPr>
        <w:pStyle w:val="ListParagraph"/>
        <w:numPr>
          <w:ilvl w:val="0"/>
          <w:numId w:val="15"/>
        </w:numPr>
        <w:spacing w:line="240" w:lineRule="auto"/>
        <w:rPr>
          <w:rFonts w:cs="Calibri"/>
          <w:color w:val="000000"/>
        </w:rPr>
      </w:pPr>
      <w:r w:rsidRPr="004D3C15">
        <w:rPr>
          <w:rFonts w:cs="Calibri"/>
          <w:color w:val="000000"/>
        </w:rPr>
        <w:t>€50</w:t>
      </w:r>
      <w:r w:rsidR="00B33993" w:rsidRPr="004D3C15">
        <w:rPr>
          <w:rFonts w:cs="Calibri"/>
          <w:color w:val="000000"/>
        </w:rPr>
        <w:t>,</w:t>
      </w:r>
      <w:r>
        <w:rPr>
          <w:rFonts w:cs="Calibri"/>
          <w:color w:val="000000"/>
        </w:rPr>
        <w:t>000</w:t>
      </w:r>
      <w:r w:rsidR="001C1C94" w:rsidRPr="00FE4C86">
        <w:rPr>
          <w:rFonts w:cs="Calibri"/>
          <w:color w:val="000000"/>
        </w:rPr>
        <w:t xml:space="preserve"> to undertake the scoping research.</w:t>
      </w:r>
    </w:p>
    <w:p w14:paraId="5DCE4968" w14:textId="77777777" w:rsidR="00441B0D" w:rsidRDefault="004611C7" w:rsidP="00441B0D">
      <w:pPr>
        <w:pStyle w:val="ListParagraph"/>
        <w:numPr>
          <w:ilvl w:val="0"/>
          <w:numId w:val="15"/>
        </w:numPr>
        <w:spacing w:line="240" w:lineRule="auto"/>
        <w:rPr>
          <w:rFonts w:cs="Calibri"/>
          <w:color w:val="000000"/>
        </w:rPr>
      </w:pPr>
      <w:r w:rsidRPr="004D3C15">
        <w:rPr>
          <w:rFonts w:cs="Calibri"/>
          <w:color w:val="000000"/>
          <w:shd w:val="clear" w:color="auto" w:fill="FFFFFF" w:themeFill="background1"/>
        </w:rPr>
        <w:t>€500</w:t>
      </w:r>
      <w:r w:rsidR="00B33993" w:rsidRPr="004D3C15">
        <w:rPr>
          <w:rFonts w:cs="Calibri"/>
          <w:color w:val="000000"/>
          <w:shd w:val="clear" w:color="auto" w:fill="FFFFFF" w:themeFill="background1"/>
        </w:rPr>
        <w:t>,</w:t>
      </w:r>
      <w:r w:rsidRPr="004D3C15">
        <w:rPr>
          <w:rFonts w:cs="Calibri"/>
          <w:color w:val="000000"/>
        </w:rPr>
        <w:t>000 (</w:t>
      </w:r>
      <w:r>
        <w:rPr>
          <w:rFonts w:cs="Calibri"/>
          <w:color w:val="000000"/>
        </w:rPr>
        <w:t xml:space="preserve">plus €50,000 </w:t>
      </w:r>
      <w:r w:rsidR="00452D28">
        <w:rPr>
          <w:rFonts w:cs="Calibri"/>
          <w:color w:val="000000"/>
        </w:rPr>
        <w:t xml:space="preserve">in-kind </w:t>
      </w:r>
      <w:r>
        <w:rPr>
          <w:rFonts w:cs="Calibri"/>
          <w:color w:val="000000"/>
        </w:rPr>
        <w:t>co-financing</w:t>
      </w:r>
      <w:r w:rsidR="007908B2">
        <w:rPr>
          <w:rFonts w:cs="Calibri"/>
          <w:color w:val="000000"/>
        </w:rPr>
        <w:t xml:space="preserve"> provided by Focus Ireland and the Saint Vincent de Paul</w:t>
      </w:r>
      <w:r w:rsidR="0001169B">
        <w:rPr>
          <w:rFonts w:cs="Calibri"/>
          <w:color w:val="000000"/>
        </w:rPr>
        <w:t>)</w:t>
      </w:r>
      <w:r w:rsidR="001C1C94" w:rsidRPr="00FE4C86">
        <w:rPr>
          <w:rFonts w:cs="Calibri"/>
          <w:color w:val="000000"/>
        </w:rPr>
        <w:t xml:space="preserve"> for the implementation of the detailed three year work programme. See Table 2.1 for </w:t>
      </w:r>
      <w:r w:rsidR="00FE4C86">
        <w:rPr>
          <w:rFonts w:cs="Calibri"/>
          <w:color w:val="000000"/>
        </w:rPr>
        <w:t xml:space="preserve">a more detailed </w:t>
      </w:r>
      <w:r w:rsidR="001C1C94" w:rsidRPr="00FE4C86">
        <w:rPr>
          <w:rFonts w:cs="Calibri"/>
          <w:color w:val="000000"/>
        </w:rPr>
        <w:t xml:space="preserve">breakdown of this </w:t>
      </w:r>
      <w:proofErr w:type="gramStart"/>
      <w:r w:rsidR="001C1C94" w:rsidRPr="00FE4C86">
        <w:rPr>
          <w:rFonts w:cs="Calibri"/>
          <w:color w:val="000000"/>
        </w:rPr>
        <w:t>spend</w:t>
      </w:r>
      <w:proofErr w:type="gramEnd"/>
      <w:r w:rsidR="001C1C94" w:rsidRPr="00FE4C86">
        <w:rPr>
          <w:rFonts w:cs="Calibri"/>
          <w:color w:val="000000"/>
        </w:rPr>
        <w:t>.</w:t>
      </w:r>
    </w:p>
    <w:tbl>
      <w:tblPr>
        <w:tblStyle w:val="TableGrid"/>
        <w:tblW w:w="0" w:type="auto"/>
        <w:tblInd w:w="108" w:type="dxa"/>
        <w:tblLook w:val="04A0" w:firstRow="1" w:lastRow="0" w:firstColumn="1" w:lastColumn="0" w:noHBand="0" w:noVBand="1"/>
      </w:tblPr>
      <w:tblGrid>
        <w:gridCol w:w="5131"/>
        <w:gridCol w:w="1569"/>
        <w:gridCol w:w="1708"/>
      </w:tblGrid>
      <w:tr w:rsidR="00441B0D" w:rsidRPr="00B33993" w14:paraId="1FB24BE0" w14:textId="77777777" w:rsidTr="00EE74E0">
        <w:tc>
          <w:tcPr>
            <w:tcW w:w="8408" w:type="dxa"/>
            <w:gridSpan w:val="3"/>
            <w:shd w:val="clear" w:color="auto" w:fill="CCC0D9" w:themeFill="accent4" w:themeFillTint="66"/>
          </w:tcPr>
          <w:p w14:paraId="7643BCE3" w14:textId="77777777" w:rsidR="00441B0D" w:rsidRPr="00B33993" w:rsidRDefault="00441B0D" w:rsidP="00441B0D">
            <w:pPr>
              <w:pStyle w:val="Heading4"/>
            </w:pPr>
            <w:r w:rsidRPr="00B33993">
              <w:t>Table 2.1 Analysis of three year project spend</w:t>
            </w:r>
          </w:p>
        </w:tc>
      </w:tr>
      <w:tr w:rsidR="00441B0D" w:rsidRPr="00B33993" w14:paraId="0D536FE5" w14:textId="77777777" w:rsidTr="00EE74E0">
        <w:tc>
          <w:tcPr>
            <w:tcW w:w="5131" w:type="dxa"/>
            <w:shd w:val="clear" w:color="auto" w:fill="CCC0D9" w:themeFill="accent4" w:themeFillTint="66"/>
          </w:tcPr>
          <w:p w14:paraId="16158A26" w14:textId="77777777" w:rsidR="00441B0D" w:rsidRPr="00B33993" w:rsidRDefault="00441B0D" w:rsidP="00EE74E0">
            <w:pPr>
              <w:rPr>
                <w:rFonts w:cs="Calibri"/>
                <w:i/>
                <w:color w:val="000000"/>
              </w:rPr>
            </w:pPr>
            <w:r w:rsidRPr="00B33993">
              <w:rPr>
                <w:rFonts w:cs="Calibri"/>
                <w:i/>
                <w:color w:val="000000"/>
              </w:rPr>
              <w:t>Description of Spend</w:t>
            </w:r>
          </w:p>
        </w:tc>
        <w:tc>
          <w:tcPr>
            <w:tcW w:w="1569" w:type="dxa"/>
            <w:shd w:val="clear" w:color="auto" w:fill="CCC0D9" w:themeFill="accent4" w:themeFillTint="66"/>
          </w:tcPr>
          <w:p w14:paraId="53618901" w14:textId="77777777" w:rsidR="00441B0D" w:rsidRPr="00B33993" w:rsidRDefault="00441B0D" w:rsidP="00EE74E0">
            <w:pPr>
              <w:rPr>
                <w:rFonts w:cs="Calibri"/>
                <w:i/>
                <w:color w:val="000000"/>
              </w:rPr>
            </w:pPr>
            <w:r>
              <w:rPr>
                <w:rFonts w:cs="Calibri"/>
                <w:i/>
                <w:color w:val="000000"/>
              </w:rPr>
              <w:t>Total spend</w:t>
            </w:r>
          </w:p>
        </w:tc>
        <w:tc>
          <w:tcPr>
            <w:tcW w:w="1708" w:type="dxa"/>
            <w:shd w:val="clear" w:color="auto" w:fill="CCC0D9" w:themeFill="accent4" w:themeFillTint="66"/>
          </w:tcPr>
          <w:p w14:paraId="5FD1C3DA" w14:textId="77777777" w:rsidR="00441B0D" w:rsidRPr="00B33993" w:rsidRDefault="00441B0D" w:rsidP="00EE74E0">
            <w:pPr>
              <w:rPr>
                <w:rFonts w:cs="Calibri"/>
                <w:i/>
                <w:color w:val="000000"/>
              </w:rPr>
            </w:pPr>
            <w:r w:rsidRPr="00B33993">
              <w:rPr>
                <w:rFonts w:cs="Calibri"/>
                <w:i/>
                <w:color w:val="000000"/>
              </w:rPr>
              <w:t>% of the Total Project Budget</w:t>
            </w:r>
          </w:p>
        </w:tc>
      </w:tr>
      <w:tr w:rsidR="00441B0D" w:rsidRPr="00B33993" w14:paraId="458901D4" w14:textId="77777777" w:rsidTr="00EE74E0">
        <w:tc>
          <w:tcPr>
            <w:tcW w:w="5131" w:type="dxa"/>
          </w:tcPr>
          <w:p w14:paraId="54F854AB" w14:textId="77777777" w:rsidR="00441B0D" w:rsidRPr="00B33993" w:rsidRDefault="00441B0D" w:rsidP="00EE74E0">
            <w:pPr>
              <w:rPr>
                <w:rFonts w:cs="Calibri"/>
                <w:color w:val="000000"/>
              </w:rPr>
            </w:pPr>
            <w:r w:rsidRPr="00B33993">
              <w:rPr>
                <w:rFonts w:cs="Calibri"/>
                <w:color w:val="000000"/>
              </w:rPr>
              <w:t>Consultancy</w:t>
            </w:r>
            <w:r>
              <w:rPr>
                <w:rFonts w:cs="Calibri"/>
                <w:color w:val="000000"/>
              </w:rPr>
              <w:t xml:space="preserve"> and activity costs (research, events, tools </w:t>
            </w:r>
            <w:proofErr w:type="spellStart"/>
            <w:r>
              <w:rPr>
                <w:rFonts w:cs="Calibri"/>
                <w:color w:val="000000"/>
              </w:rPr>
              <w:t>etc</w:t>
            </w:r>
            <w:proofErr w:type="spellEnd"/>
            <w:r>
              <w:rPr>
                <w:rFonts w:cs="Calibri"/>
                <w:color w:val="000000"/>
              </w:rPr>
              <w:t xml:space="preserve">).  </w:t>
            </w:r>
            <w:r w:rsidRPr="00B33993">
              <w:rPr>
                <w:rFonts w:cs="Calibri"/>
                <w:color w:val="000000"/>
              </w:rPr>
              <w:t>Employment of specialists to undertaken specific pieces of work</w:t>
            </w:r>
          </w:p>
        </w:tc>
        <w:tc>
          <w:tcPr>
            <w:tcW w:w="1569" w:type="dxa"/>
          </w:tcPr>
          <w:p w14:paraId="55D511F7" w14:textId="7DF0B955" w:rsidR="00441B0D" w:rsidRPr="00B33993" w:rsidRDefault="00441B0D" w:rsidP="00EE74E0">
            <w:pPr>
              <w:rPr>
                <w:rFonts w:cs="Calibri"/>
                <w:color w:val="000000"/>
              </w:rPr>
            </w:pPr>
            <w:r>
              <w:rPr>
                <w:rFonts w:cs="Calibri"/>
                <w:color w:val="000000"/>
              </w:rPr>
              <w:t>€</w:t>
            </w:r>
            <w:r>
              <w:rPr>
                <w:rFonts w:cs="Calibri"/>
                <w:color w:val="000000"/>
              </w:rPr>
              <w:t>242,186</w:t>
            </w:r>
          </w:p>
        </w:tc>
        <w:tc>
          <w:tcPr>
            <w:tcW w:w="1708" w:type="dxa"/>
          </w:tcPr>
          <w:p w14:paraId="6A1F1582" w14:textId="77777777" w:rsidR="00441B0D" w:rsidRPr="00585CC2" w:rsidRDefault="00441B0D" w:rsidP="00EE74E0">
            <w:pPr>
              <w:rPr>
                <w:rFonts w:cs="Calibri"/>
                <w:color w:val="000000"/>
                <w:highlight w:val="yellow"/>
              </w:rPr>
            </w:pPr>
            <w:r w:rsidRPr="000B585B">
              <w:rPr>
                <w:rFonts w:cs="Calibri"/>
                <w:color w:val="000000"/>
              </w:rPr>
              <w:t>44%</w:t>
            </w:r>
          </w:p>
        </w:tc>
      </w:tr>
      <w:tr w:rsidR="00441B0D" w:rsidRPr="00B33993" w14:paraId="1C3B889A" w14:textId="77777777" w:rsidTr="00EE74E0">
        <w:tc>
          <w:tcPr>
            <w:tcW w:w="5131" w:type="dxa"/>
          </w:tcPr>
          <w:p w14:paraId="3418078B" w14:textId="77777777" w:rsidR="00441B0D" w:rsidRPr="00B33993" w:rsidRDefault="00441B0D" w:rsidP="00EE74E0">
            <w:pPr>
              <w:rPr>
                <w:rFonts w:cs="Calibri"/>
                <w:color w:val="000000"/>
              </w:rPr>
            </w:pPr>
            <w:r w:rsidRPr="00B33993">
              <w:rPr>
                <w:rFonts w:cs="Calibri"/>
                <w:color w:val="000000"/>
              </w:rPr>
              <w:t>Staff and expenses</w:t>
            </w:r>
          </w:p>
          <w:p w14:paraId="18E63E0F" w14:textId="77777777" w:rsidR="00441B0D" w:rsidRPr="00BD5C64" w:rsidRDefault="00441B0D" w:rsidP="00441B0D">
            <w:pPr>
              <w:pStyle w:val="ListParagraph"/>
              <w:numPr>
                <w:ilvl w:val="2"/>
                <w:numId w:val="3"/>
              </w:numPr>
              <w:ind w:left="743" w:hanging="142"/>
              <w:rPr>
                <w:rFonts w:cs="Calibri"/>
                <w:color w:val="000000"/>
              </w:rPr>
            </w:pPr>
            <w:r w:rsidRPr="00BD5C64">
              <w:rPr>
                <w:rFonts w:cs="Calibri"/>
                <w:color w:val="000000"/>
              </w:rPr>
              <w:t>Director</w:t>
            </w:r>
            <w:r w:rsidRPr="00BD5C64">
              <w:rPr>
                <w:rStyle w:val="FootnoteReference"/>
                <w:rFonts w:cs="Calibri"/>
                <w:color w:val="000000"/>
              </w:rPr>
              <w:t xml:space="preserve"> </w:t>
            </w:r>
            <w:r w:rsidRPr="00CD7EC1">
              <w:rPr>
                <w:rFonts w:cs="Calibri"/>
                <w:color w:val="000000"/>
              </w:rPr>
              <w:t xml:space="preserve">(appointed August 2011) </w:t>
            </w:r>
            <w:r w:rsidRPr="00BD5C64">
              <w:rPr>
                <w:rFonts w:cs="Calibri"/>
                <w:color w:val="000000"/>
              </w:rPr>
              <w:t>(50% role)</w:t>
            </w:r>
          </w:p>
          <w:p w14:paraId="53E781C4" w14:textId="77777777" w:rsidR="00441B0D" w:rsidRPr="00B33993" w:rsidRDefault="00441B0D" w:rsidP="00441B0D">
            <w:pPr>
              <w:pStyle w:val="ListParagraph"/>
              <w:numPr>
                <w:ilvl w:val="2"/>
                <w:numId w:val="3"/>
              </w:numPr>
              <w:ind w:left="743" w:hanging="142"/>
              <w:rPr>
                <w:rFonts w:cs="Calibri"/>
                <w:color w:val="000000"/>
              </w:rPr>
            </w:pPr>
            <w:r w:rsidRPr="00BD5C64">
              <w:rPr>
                <w:rFonts w:cs="Calibri"/>
                <w:color w:val="000000"/>
              </w:rPr>
              <w:t>Communications Officer</w:t>
            </w:r>
            <w:r w:rsidRPr="00BD5C64">
              <w:rPr>
                <w:rStyle w:val="FootnoteReference"/>
                <w:rFonts w:cs="Calibri"/>
                <w:color w:val="000000"/>
              </w:rPr>
              <w:t xml:space="preserve"> </w:t>
            </w:r>
            <w:r w:rsidRPr="00CD7EC1">
              <w:rPr>
                <w:rFonts w:cs="Calibri"/>
                <w:color w:val="000000"/>
              </w:rPr>
              <w:t>(appointed October 2012)</w:t>
            </w:r>
            <w:r>
              <w:rPr>
                <w:rFonts w:cs="Calibri"/>
                <w:color w:val="000000"/>
              </w:rPr>
              <w:t xml:space="preserve"> </w:t>
            </w:r>
            <w:r w:rsidRPr="00BD5C64">
              <w:rPr>
                <w:rFonts w:cs="Calibri"/>
                <w:color w:val="000000"/>
              </w:rPr>
              <w:t>(</w:t>
            </w:r>
            <w:r w:rsidRPr="00B33993">
              <w:rPr>
                <w:rFonts w:cs="Calibri"/>
                <w:color w:val="000000"/>
              </w:rPr>
              <w:t>50% role)</w:t>
            </w:r>
          </w:p>
          <w:p w14:paraId="736A1E82" w14:textId="77777777" w:rsidR="00441B0D" w:rsidRPr="00B33993" w:rsidRDefault="00441B0D" w:rsidP="00441B0D">
            <w:pPr>
              <w:pStyle w:val="ListParagraph"/>
              <w:numPr>
                <w:ilvl w:val="2"/>
                <w:numId w:val="3"/>
              </w:numPr>
              <w:ind w:left="743" w:hanging="142"/>
              <w:rPr>
                <w:rFonts w:cs="Calibri"/>
                <w:color w:val="000000"/>
              </w:rPr>
            </w:pPr>
            <w:r w:rsidRPr="00B33993">
              <w:rPr>
                <w:rFonts w:cs="Calibri"/>
                <w:color w:val="000000"/>
              </w:rPr>
              <w:t>Admin Support (CE)</w:t>
            </w:r>
            <w:r>
              <w:rPr>
                <w:rFonts w:cs="Calibri"/>
                <w:color w:val="000000"/>
              </w:rPr>
              <w:t xml:space="preserve"> (2012-2013)</w:t>
            </w:r>
            <w:r w:rsidRPr="00B33993">
              <w:rPr>
                <w:rFonts w:cs="Calibri"/>
                <w:color w:val="000000"/>
              </w:rPr>
              <w:t xml:space="preserve"> </w:t>
            </w:r>
            <w:r w:rsidRPr="004735E6">
              <w:rPr>
                <w:rFonts w:cs="Calibri"/>
                <w:color w:val="000000"/>
              </w:rPr>
              <w:t>(</w:t>
            </w:r>
            <w:r w:rsidRPr="004735E6">
              <w:rPr>
                <w:rFonts w:cs="Calibri"/>
              </w:rPr>
              <w:t xml:space="preserve">10-20% </w:t>
            </w:r>
            <w:r w:rsidRPr="004735E6">
              <w:rPr>
                <w:rFonts w:cs="Calibri"/>
                <w:color w:val="000000"/>
              </w:rPr>
              <w:t>role)</w:t>
            </w:r>
          </w:p>
        </w:tc>
        <w:tc>
          <w:tcPr>
            <w:tcW w:w="1569" w:type="dxa"/>
          </w:tcPr>
          <w:p w14:paraId="4921470E" w14:textId="0E8A684F" w:rsidR="00441B0D" w:rsidRPr="00B33993" w:rsidRDefault="00441B0D" w:rsidP="00EE74E0">
            <w:pPr>
              <w:pStyle w:val="ListParagraph"/>
              <w:ind w:left="6"/>
              <w:rPr>
                <w:rFonts w:cs="Calibri"/>
                <w:color w:val="000000"/>
              </w:rPr>
            </w:pPr>
            <w:r>
              <w:rPr>
                <w:rFonts w:cs="Calibri"/>
                <w:color w:val="000000"/>
              </w:rPr>
              <w:t>€229,246</w:t>
            </w:r>
          </w:p>
        </w:tc>
        <w:tc>
          <w:tcPr>
            <w:tcW w:w="1708" w:type="dxa"/>
          </w:tcPr>
          <w:p w14:paraId="1CAFB83C" w14:textId="77777777" w:rsidR="00441B0D" w:rsidRPr="00585CC2" w:rsidRDefault="00441B0D" w:rsidP="00EE74E0">
            <w:pPr>
              <w:rPr>
                <w:rFonts w:cs="Calibri"/>
                <w:color w:val="000000"/>
                <w:highlight w:val="yellow"/>
              </w:rPr>
            </w:pPr>
            <w:r>
              <w:rPr>
                <w:rFonts w:cs="Calibri"/>
                <w:color w:val="000000"/>
              </w:rPr>
              <w:t>42%</w:t>
            </w:r>
          </w:p>
        </w:tc>
      </w:tr>
      <w:tr w:rsidR="00441B0D" w:rsidRPr="00B33993" w14:paraId="4142F887" w14:textId="77777777" w:rsidTr="00EE74E0">
        <w:tc>
          <w:tcPr>
            <w:tcW w:w="5131" w:type="dxa"/>
          </w:tcPr>
          <w:p w14:paraId="32F43544" w14:textId="77777777" w:rsidR="00441B0D" w:rsidRPr="00B33993" w:rsidRDefault="00441B0D" w:rsidP="00EE74E0">
            <w:pPr>
              <w:rPr>
                <w:rFonts w:cs="Calibri"/>
                <w:color w:val="000000"/>
              </w:rPr>
            </w:pPr>
            <w:r w:rsidRPr="00B33993">
              <w:rPr>
                <w:rFonts w:cs="Calibri"/>
                <w:color w:val="000000"/>
              </w:rPr>
              <w:t>Communications</w:t>
            </w:r>
            <w:r>
              <w:rPr>
                <w:rFonts w:cs="Calibri"/>
                <w:color w:val="000000"/>
              </w:rPr>
              <w:t xml:space="preserve"> and websites</w:t>
            </w:r>
          </w:p>
        </w:tc>
        <w:tc>
          <w:tcPr>
            <w:tcW w:w="1569" w:type="dxa"/>
          </w:tcPr>
          <w:p w14:paraId="5DAC49D1" w14:textId="6ED063DB" w:rsidR="00441B0D" w:rsidRPr="00B33993" w:rsidRDefault="00441B0D" w:rsidP="00EE74E0">
            <w:pPr>
              <w:rPr>
                <w:rFonts w:cs="Calibri"/>
                <w:color w:val="000000"/>
              </w:rPr>
            </w:pPr>
            <w:r>
              <w:rPr>
                <w:rFonts w:cs="Calibri"/>
                <w:color w:val="000000"/>
              </w:rPr>
              <w:t>€29,418</w:t>
            </w:r>
          </w:p>
        </w:tc>
        <w:tc>
          <w:tcPr>
            <w:tcW w:w="1708" w:type="dxa"/>
          </w:tcPr>
          <w:p w14:paraId="3598C825" w14:textId="77777777" w:rsidR="00441B0D" w:rsidRPr="00585CC2" w:rsidRDefault="00441B0D" w:rsidP="00EE74E0">
            <w:pPr>
              <w:rPr>
                <w:rFonts w:cs="Calibri"/>
                <w:color w:val="000000"/>
                <w:highlight w:val="yellow"/>
              </w:rPr>
            </w:pPr>
            <w:r>
              <w:rPr>
                <w:rFonts w:cs="Calibri"/>
                <w:color w:val="000000"/>
              </w:rPr>
              <w:t>5%</w:t>
            </w:r>
          </w:p>
        </w:tc>
      </w:tr>
      <w:tr w:rsidR="00441B0D" w:rsidRPr="00B33993" w14:paraId="7E79BB93" w14:textId="77777777" w:rsidTr="00EE74E0">
        <w:tc>
          <w:tcPr>
            <w:tcW w:w="5131" w:type="dxa"/>
          </w:tcPr>
          <w:p w14:paraId="414518A7" w14:textId="77777777" w:rsidR="00441B0D" w:rsidRPr="00B33993" w:rsidRDefault="00441B0D" w:rsidP="00EE74E0">
            <w:pPr>
              <w:rPr>
                <w:rFonts w:cs="Calibri"/>
                <w:color w:val="000000"/>
              </w:rPr>
            </w:pPr>
            <w:r w:rsidRPr="00B33993">
              <w:rPr>
                <w:rFonts w:cs="Calibri"/>
                <w:color w:val="000000"/>
              </w:rPr>
              <w:t>Administration</w:t>
            </w:r>
            <w:r>
              <w:rPr>
                <w:rFonts w:cs="Calibri"/>
                <w:color w:val="000000"/>
              </w:rPr>
              <w:t xml:space="preserve">  (including operational c</w:t>
            </w:r>
            <w:r w:rsidRPr="00B33993">
              <w:rPr>
                <w:rFonts w:cs="Calibri"/>
                <w:color w:val="000000"/>
              </w:rPr>
              <w:t>ost</w:t>
            </w:r>
            <w:r>
              <w:rPr>
                <w:rFonts w:cs="Calibri"/>
                <w:color w:val="000000"/>
              </w:rPr>
              <w:t>s, rent, light, heat, equipment</w:t>
            </w:r>
            <w:r w:rsidRPr="00B33993">
              <w:rPr>
                <w:rFonts w:cs="Calibri"/>
                <w:color w:val="000000"/>
              </w:rPr>
              <w:t>)</w:t>
            </w:r>
          </w:p>
        </w:tc>
        <w:tc>
          <w:tcPr>
            <w:tcW w:w="1569" w:type="dxa"/>
          </w:tcPr>
          <w:p w14:paraId="12CF8EB2" w14:textId="4B93BB80" w:rsidR="00441B0D" w:rsidRDefault="00441B0D" w:rsidP="00EE74E0">
            <w:pPr>
              <w:rPr>
                <w:rFonts w:cs="Calibri"/>
                <w:color w:val="000000"/>
              </w:rPr>
            </w:pPr>
            <w:r>
              <w:rPr>
                <w:rFonts w:cs="Calibri"/>
                <w:color w:val="000000"/>
              </w:rPr>
              <w:t>€30,275</w:t>
            </w:r>
          </w:p>
          <w:p w14:paraId="3FA1F5D7" w14:textId="77777777" w:rsidR="00441B0D" w:rsidRPr="00B33993" w:rsidRDefault="00441B0D" w:rsidP="00EE74E0">
            <w:pPr>
              <w:rPr>
                <w:rFonts w:cs="Calibri"/>
                <w:color w:val="000000"/>
              </w:rPr>
            </w:pPr>
          </w:p>
        </w:tc>
        <w:tc>
          <w:tcPr>
            <w:tcW w:w="1708" w:type="dxa"/>
          </w:tcPr>
          <w:p w14:paraId="43611544" w14:textId="77777777" w:rsidR="00441B0D" w:rsidRPr="00585CC2" w:rsidRDefault="00441B0D" w:rsidP="00EE74E0">
            <w:pPr>
              <w:rPr>
                <w:rFonts w:cs="Calibri"/>
                <w:color w:val="000000"/>
                <w:highlight w:val="yellow"/>
              </w:rPr>
            </w:pPr>
            <w:r>
              <w:rPr>
                <w:rFonts w:cs="Calibri"/>
                <w:color w:val="000000"/>
              </w:rPr>
              <w:t>6%</w:t>
            </w:r>
          </w:p>
        </w:tc>
      </w:tr>
      <w:tr w:rsidR="00441B0D" w:rsidRPr="00B33993" w14:paraId="1F025125" w14:textId="77777777" w:rsidTr="00EE74E0">
        <w:tc>
          <w:tcPr>
            <w:tcW w:w="5131" w:type="dxa"/>
          </w:tcPr>
          <w:p w14:paraId="1F1DE97F" w14:textId="77777777" w:rsidR="00441B0D" w:rsidRPr="00B33993" w:rsidRDefault="00441B0D" w:rsidP="00EE74E0">
            <w:pPr>
              <w:rPr>
                <w:rFonts w:cs="Calibri"/>
                <w:color w:val="000000"/>
              </w:rPr>
            </w:pPr>
            <w:r>
              <w:rPr>
                <w:rFonts w:cs="Calibri"/>
                <w:color w:val="000000"/>
              </w:rPr>
              <w:t>Project e</w:t>
            </w:r>
            <w:r w:rsidRPr="00B33993">
              <w:rPr>
                <w:rFonts w:cs="Calibri"/>
                <w:color w:val="000000"/>
              </w:rPr>
              <w:t>valuation</w:t>
            </w:r>
          </w:p>
        </w:tc>
        <w:tc>
          <w:tcPr>
            <w:tcW w:w="1569" w:type="dxa"/>
          </w:tcPr>
          <w:p w14:paraId="5993609C" w14:textId="7D8CE98C" w:rsidR="00441B0D" w:rsidRPr="00B33993" w:rsidRDefault="00441B0D" w:rsidP="00EE74E0">
            <w:pPr>
              <w:rPr>
                <w:rFonts w:cs="Calibri"/>
                <w:color w:val="000000"/>
              </w:rPr>
            </w:pPr>
            <w:r>
              <w:rPr>
                <w:rFonts w:cs="Calibri"/>
                <w:color w:val="000000"/>
              </w:rPr>
              <w:t>€18,875</w:t>
            </w:r>
          </w:p>
        </w:tc>
        <w:tc>
          <w:tcPr>
            <w:tcW w:w="1708" w:type="dxa"/>
          </w:tcPr>
          <w:p w14:paraId="05EE38B6" w14:textId="77777777" w:rsidR="00441B0D" w:rsidRPr="00585CC2" w:rsidRDefault="00441B0D" w:rsidP="00EE74E0">
            <w:pPr>
              <w:rPr>
                <w:rFonts w:cs="Calibri"/>
                <w:color w:val="000000"/>
                <w:highlight w:val="yellow"/>
              </w:rPr>
            </w:pPr>
            <w:r>
              <w:rPr>
                <w:rFonts w:cs="Calibri"/>
                <w:color w:val="000000"/>
              </w:rPr>
              <w:t>3%</w:t>
            </w:r>
          </w:p>
        </w:tc>
      </w:tr>
      <w:tr w:rsidR="00441B0D" w:rsidRPr="00B33993" w14:paraId="77480793" w14:textId="77777777" w:rsidTr="00EE74E0">
        <w:tc>
          <w:tcPr>
            <w:tcW w:w="5131" w:type="dxa"/>
          </w:tcPr>
          <w:p w14:paraId="36EFC6AB" w14:textId="77777777" w:rsidR="00441B0D" w:rsidRPr="00B33993" w:rsidRDefault="00441B0D" w:rsidP="00EE74E0">
            <w:pPr>
              <w:rPr>
                <w:rFonts w:cs="Calibri"/>
                <w:color w:val="000000"/>
              </w:rPr>
            </w:pPr>
            <w:r>
              <w:rPr>
                <w:rFonts w:cs="Calibri"/>
                <w:color w:val="000000"/>
              </w:rPr>
              <w:t>Total</w:t>
            </w:r>
          </w:p>
        </w:tc>
        <w:tc>
          <w:tcPr>
            <w:tcW w:w="1569" w:type="dxa"/>
          </w:tcPr>
          <w:p w14:paraId="27A559E0" w14:textId="21E8AE13" w:rsidR="00441B0D" w:rsidRDefault="00441B0D" w:rsidP="00EE74E0">
            <w:pPr>
              <w:rPr>
                <w:rFonts w:cs="Calibri"/>
                <w:color w:val="000000"/>
              </w:rPr>
            </w:pPr>
            <w:r>
              <w:rPr>
                <w:rFonts w:cs="Calibri"/>
                <w:color w:val="000000"/>
              </w:rPr>
              <w:t>€550,000</w:t>
            </w:r>
          </w:p>
        </w:tc>
        <w:tc>
          <w:tcPr>
            <w:tcW w:w="1708" w:type="dxa"/>
          </w:tcPr>
          <w:p w14:paraId="0D75B25B" w14:textId="77777777" w:rsidR="00441B0D" w:rsidRDefault="00441B0D" w:rsidP="00EE74E0">
            <w:pPr>
              <w:rPr>
                <w:rFonts w:cs="Calibri"/>
                <w:color w:val="000000"/>
              </w:rPr>
            </w:pPr>
            <w:r>
              <w:rPr>
                <w:rFonts w:cs="Calibri"/>
                <w:color w:val="000000"/>
              </w:rPr>
              <w:t>100%</w:t>
            </w:r>
          </w:p>
        </w:tc>
      </w:tr>
    </w:tbl>
    <w:p w14:paraId="21578D49" w14:textId="77777777" w:rsidR="00441B0D" w:rsidRDefault="00441B0D" w:rsidP="00441B0D">
      <w:pPr>
        <w:spacing w:line="240" w:lineRule="auto"/>
        <w:jc w:val="both"/>
        <w:rPr>
          <w:rFonts w:cs="Calibri"/>
          <w:color w:val="000000"/>
        </w:rPr>
      </w:pPr>
    </w:p>
    <w:p w14:paraId="63557069" w14:textId="0F0DC6E8" w:rsidR="00FE4C86" w:rsidRDefault="00DD0D63" w:rsidP="00F55AE4">
      <w:pPr>
        <w:spacing w:line="240" w:lineRule="auto"/>
        <w:jc w:val="both"/>
        <w:rPr>
          <w:rFonts w:cs="Calibri"/>
          <w:color w:val="000000"/>
        </w:rPr>
      </w:pPr>
      <w:r>
        <w:rPr>
          <w:rFonts w:cs="Calibri"/>
          <w:color w:val="000000"/>
        </w:rPr>
        <w:t xml:space="preserve">What was unusual about our </w:t>
      </w:r>
      <w:r w:rsidR="006A5A41">
        <w:rPr>
          <w:rFonts w:cs="Calibri"/>
          <w:color w:val="000000"/>
        </w:rPr>
        <w:t>p</w:t>
      </w:r>
      <w:r w:rsidR="00FE4C86">
        <w:rPr>
          <w:rFonts w:cs="Calibri"/>
          <w:color w:val="000000"/>
        </w:rPr>
        <w:t xml:space="preserve">rogramme was that the majority of the resources were spent on the employment of specialists to undertake </w:t>
      </w:r>
      <w:r w:rsidR="00F55AE4">
        <w:rPr>
          <w:rFonts w:cs="Calibri"/>
          <w:color w:val="000000"/>
        </w:rPr>
        <w:t xml:space="preserve">specific pieces of work. Staff resources were limited to </w:t>
      </w:r>
      <w:r w:rsidR="003F36EE">
        <w:rPr>
          <w:rFonts w:cs="Calibri"/>
          <w:color w:val="000000"/>
        </w:rPr>
        <w:t>one</w:t>
      </w:r>
      <w:r w:rsidR="00F55AE4">
        <w:rPr>
          <w:rFonts w:cs="Calibri"/>
          <w:color w:val="000000"/>
        </w:rPr>
        <w:t xml:space="preserve"> </w:t>
      </w:r>
      <w:r w:rsidR="004735E6">
        <w:rPr>
          <w:rFonts w:cs="Calibri"/>
          <w:color w:val="000000"/>
        </w:rPr>
        <w:t xml:space="preserve">full time </w:t>
      </w:r>
      <w:r w:rsidR="003F36EE">
        <w:rPr>
          <w:rFonts w:cs="Calibri"/>
          <w:color w:val="000000"/>
        </w:rPr>
        <w:t>equivalent</w:t>
      </w:r>
      <w:r w:rsidR="007908B2">
        <w:rPr>
          <w:rFonts w:cs="Calibri"/>
          <w:color w:val="000000"/>
        </w:rPr>
        <w:t>.</w:t>
      </w:r>
    </w:p>
    <w:p w14:paraId="766ADF72" w14:textId="77777777" w:rsidR="00441B0D" w:rsidRDefault="00441B0D" w:rsidP="00421D6A">
      <w:pPr>
        <w:pStyle w:val="Heading2"/>
      </w:pPr>
      <w:bookmarkStart w:id="21" w:name="_Toc394492944"/>
      <w:bookmarkStart w:id="22" w:name="_Toc394493478"/>
    </w:p>
    <w:p w14:paraId="55F31526" w14:textId="77777777" w:rsidR="001C1C94" w:rsidRPr="00B33993" w:rsidRDefault="001C1C94" w:rsidP="00421D6A">
      <w:pPr>
        <w:pStyle w:val="Heading2"/>
      </w:pPr>
      <w:r w:rsidRPr="00B33993">
        <w:t>2.6 Project governance and management</w:t>
      </w:r>
      <w:bookmarkEnd w:id="21"/>
      <w:bookmarkEnd w:id="22"/>
    </w:p>
    <w:p w14:paraId="42B418D3" w14:textId="77777777" w:rsidR="00421D6A" w:rsidRDefault="00421D6A" w:rsidP="001C1C94">
      <w:pPr>
        <w:spacing w:line="240" w:lineRule="auto"/>
      </w:pPr>
    </w:p>
    <w:p w14:paraId="697F254C" w14:textId="7F1B3A2F" w:rsidR="001C1C94" w:rsidRPr="00B33993" w:rsidRDefault="00DD0D63" w:rsidP="001C1C94">
      <w:pPr>
        <w:spacing w:line="240" w:lineRule="auto"/>
      </w:pPr>
      <w:r>
        <w:t xml:space="preserve">Our </w:t>
      </w:r>
      <w:r w:rsidR="001C1C94" w:rsidRPr="00B33993">
        <w:t>Steering Committee (</w:t>
      </w:r>
      <w:r w:rsidR="006A5A41" w:rsidRPr="00BF327E">
        <w:t>21</w:t>
      </w:r>
      <w:r w:rsidR="00585CC2">
        <w:t xml:space="preserve"> m</w:t>
      </w:r>
      <w:r w:rsidR="001C1C94" w:rsidRPr="00B33993">
        <w:t xml:space="preserve">embers) was responsible for overseeing the implementation of </w:t>
      </w:r>
      <w:r w:rsidR="00B52C2C">
        <w:t>the Advocacy</w:t>
      </w:r>
      <w:r w:rsidR="001C1C94" w:rsidRPr="00B33993">
        <w:t xml:space="preserve"> Initiative. Membership of this group was open to any community and voluntary organisation engaged in social justice advocacy.  This group met quarterly and elected the Chairperson.</w:t>
      </w:r>
    </w:p>
    <w:p w14:paraId="4DC6D449" w14:textId="77777777" w:rsidR="001C1C94" w:rsidRPr="00B33993" w:rsidRDefault="001C1C94" w:rsidP="001C1C94">
      <w:pPr>
        <w:spacing w:line="240" w:lineRule="auto"/>
      </w:pPr>
      <w:r w:rsidRPr="00B33993">
        <w:t>As the Initiative developed and st</w:t>
      </w:r>
      <w:r w:rsidR="00DD0D63">
        <w:t xml:space="preserve">aff were employed we made </w:t>
      </w:r>
      <w:r w:rsidR="001E41EA">
        <w:t>a decision</w:t>
      </w:r>
      <w:r w:rsidRPr="00B33993">
        <w:t xml:space="preserve"> to form a smaller 5-7 </w:t>
      </w:r>
      <w:r w:rsidR="00DD0D63">
        <w:t xml:space="preserve">member Project Management Group. This group </w:t>
      </w:r>
      <w:r w:rsidRPr="00B33993">
        <w:t>met monthly to co-ordinate the day to day management.  The Steering Committee nominated the members of this group.  See Figure 2.1 for details.</w:t>
      </w:r>
    </w:p>
    <w:p w14:paraId="05524EF5" w14:textId="106AC528" w:rsidR="001C1C94" w:rsidRDefault="001C1C94" w:rsidP="0056120D">
      <w:pPr>
        <w:pStyle w:val="Heading4"/>
      </w:pPr>
      <w:r w:rsidRPr="00B33993">
        <w:t>Figure 2.1</w:t>
      </w:r>
      <w:r w:rsidR="00FF7255">
        <w:t xml:space="preserve"> - </w:t>
      </w:r>
      <w:r w:rsidRPr="00B33993">
        <w:t>The Governance Structures</w:t>
      </w:r>
    </w:p>
    <w:p w14:paraId="00A59DD9" w14:textId="77777777" w:rsidR="0056120D" w:rsidRPr="0056120D" w:rsidRDefault="0056120D" w:rsidP="0056120D"/>
    <w:p w14:paraId="41ABB23E" w14:textId="77777777" w:rsidR="001C1C94" w:rsidRPr="00B33993" w:rsidRDefault="001C1C94" w:rsidP="001C1C94">
      <w:pPr>
        <w:spacing w:line="240" w:lineRule="auto"/>
        <w:rPr>
          <w:color w:val="7030A0"/>
        </w:rPr>
      </w:pPr>
      <w:r w:rsidRPr="00B33993">
        <w:rPr>
          <w:noProof/>
          <w:color w:val="7030A0"/>
          <w:bdr w:val="single" w:sz="4" w:space="0" w:color="auto"/>
          <w:lang w:val="en-IE" w:eastAsia="en-IE"/>
        </w:rPr>
        <w:drawing>
          <wp:inline distT="0" distB="0" distL="0" distR="0" wp14:anchorId="7214B164" wp14:editId="1EE640D7">
            <wp:extent cx="5618480" cy="207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GOVERNANCE STRUCTURES V1.JPG"/>
                    <pic:cNvPicPr/>
                  </pic:nvPicPr>
                  <pic:blipFill>
                    <a:blip r:embed="rId10">
                      <a:extLst>
                        <a:ext uri="{28A0092B-C50C-407E-A947-70E740481C1C}">
                          <a14:useLocalDpi xmlns:a14="http://schemas.microsoft.com/office/drawing/2010/main" val="0"/>
                        </a:ext>
                      </a:extLst>
                    </a:blip>
                    <a:stretch>
                      <a:fillRect/>
                    </a:stretch>
                  </pic:blipFill>
                  <pic:spPr>
                    <a:xfrm>
                      <a:off x="0" y="0"/>
                      <a:ext cx="5624760" cy="2080042"/>
                    </a:xfrm>
                    <a:prstGeom prst="rect">
                      <a:avLst/>
                    </a:prstGeom>
                  </pic:spPr>
                </pic:pic>
              </a:graphicData>
            </a:graphic>
          </wp:inline>
        </w:drawing>
      </w:r>
    </w:p>
    <w:p w14:paraId="72E1D8ED" w14:textId="77777777" w:rsidR="001C1C94" w:rsidRPr="00B33993" w:rsidRDefault="001C1C94" w:rsidP="001C1C94">
      <w:pPr>
        <w:pStyle w:val="Default"/>
        <w:ind w:left="720"/>
        <w:rPr>
          <w:rFonts w:asciiTheme="minorHAnsi" w:hAnsiTheme="minorHAnsi"/>
          <w:sz w:val="22"/>
          <w:szCs w:val="22"/>
        </w:rPr>
      </w:pPr>
    </w:p>
    <w:p w14:paraId="5D4BE538" w14:textId="77777777" w:rsidR="001C1C94" w:rsidRPr="00B33993" w:rsidRDefault="001C1C94" w:rsidP="00421D6A">
      <w:pPr>
        <w:pStyle w:val="Heading2"/>
      </w:pPr>
      <w:bookmarkStart w:id="23" w:name="_Toc394492945"/>
      <w:bookmarkStart w:id="24" w:name="_Toc394493479"/>
      <w:r w:rsidRPr="00B33993">
        <w:t>2.7 Project activities</w:t>
      </w:r>
      <w:bookmarkEnd w:id="23"/>
      <w:bookmarkEnd w:id="24"/>
    </w:p>
    <w:p w14:paraId="43A58F8D" w14:textId="77777777" w:rsidR="001C1C94" w:rsidRPr="00B33993" w:rsidRDefault="00DD0D63" w:rsidP="001C1C94">
      <w:pPr>
        <w:spacing w:line="240" w:lineRule="auto"/>
        <w:rPr>
          <w:color w:val="7030A0"/>
        </w:rPr>
      </w:pPr>
      <w:r>
        <w:t xml:space="preserve">We </w:t>
      </w:r>
      <w:r w:rsidR="00F55AE4">
        <w:t xml:space="preserve">facilitated the organisation of a range of activities, which </w:t>
      </w:r>
      <w:r w:rsidR="001C1C94" w:rsidRPr="00B33993">
        <w:t>can be examined under a number of different headings/goals:</w:t>
      </w:r>
    </w:p>
    <w:p w14:paraId="4180F7E1" w14:textId="77777777" w:rsidR="001C1C94" w:rsidRPr="00B33993" w:rsidRDefault="001C1C94" w:rsidP="009B4794">
      <w:pPr>
        <w:numPr>
          <w:ilvl w:val="0"/>
          <w:numId w:val="4"/>
        </w:numPr>
        <w:spacing w:before="100" w:beforeAutospacing="1" w:after="100" w:afterAutospacing="1" w:line="240" w:lineRule="auto"/>
        <w:rPr>
          <w:color w:val="000000" w:themeColor="text1"/>
        </w:rPr>
      </w:pPr>
      <w:r w:rsidRPr="00B33993">
        <w:rPr>
          <w:color w:val="000000" w:themeColor="text1"/>
        </w:rPr>
        <w:t>Activities that generate knowledge in relation to social justice advocacy</w:t>
      </w:r>
    </w:p>
    <w:p w14:paraId="0BB23C8C" w14:textId="77777777" w:rsidR="001C1C94" w:rsidRPr="00B33993" w:rsidRDefault="001C1C94" w:rsidP="009B4794">
      <w:pPr>
        <w:numPr>
          <w:ilvl w:val="0"/>
          <w:numId w:val="4"/>
        </w:numPr>
        <w:spacing w:before="100" w:beforeAutospacing="1" w:after="100" w:afterAutospacing="1" w:line="240" w:lineRule="auto"/>
        <w:rPr>
          <w:color w:val="000000" w:themeColor="text1"/>
        </w:rPr>
      </w:pPr>
      <w:r w:rsidRPr="00B33993">
        <w:rPr>
          <w:color w:val="000000" w:themeColor="text1"/>
        </w:rPr>
        <w:t>Activities that stimulate debate and reflection on social justice advocacy within the community and voluntary sector and with the state.</w:t>
      </w:r>
    </w:p>
    <w:p w14:paraId="4FC9771D" w14:textId="77777777" w:rsidR="001C1C94" w:rsidRPr="00B33993" w:rsidRDefault="001C1C94" w:rsidP="009B4794">
      <w:pPr>
        <w:numPr>
          <w:ilvl w:val="0"/>
          <w:numId w:val="4"/>
        </w:numPr>
        <w:spacing w:before="100" w:beforeAutospacing="1" w:after="100" w:afterAutospacing="1" w:line="240" w:lineRule="auto"/>
        <w:rPr>
          <w:color w:val="000000" w:themeColor="text1"/>
        </w:rPr>
      </w:pPr>
      <w:r w:rsidRPr="00B33993">
        <w:rPr>
          <w:color w:val="000000" w:themeColor="text1"/>
        </w:rPr>
        <w:t>Activities that build capacity</w:t>
      </w:r>
    </w:p>
    <w:p w14:paraId="7EEB6C79" w14:textId="77777777" w:rsidR="001C1C94" w:rsidRPr="00B33993" w:rsidRDefault="001C1C94" w:rsidP="009B4794">
      <w:pPr>
        <w:numPr>
          <w:ilvl w:val="0"/>
          <w:numId w:val="4"/>
        </w:numPr>
        <w:spacing w:before="100" w:beforeAutospacing="1" w:after="100" w:afterAutospacing="1" w:line="240" w:lineRule="auto"/>
        <w:rPr>
          <w:color w:val="000000" w:themeColor="text1"/>
        </w:rPr>
      </w:pPr>
      <w:r w:rsidRPr="00B33993">
        <w:rPr>
          <w:color w:val="000000" w:themeColor="text1"/>
        </w:rPr>
        <w:t>Communications and other supporting  activities</w:t>
      </w:r>
      <w:r w:rsidRPr="00B33993">
        <w:t xml:space="preserve"> </w:t>
      </w:r>
    </w:p>
    <w:p w14:paraId="28AD4F1A" w14:textId="77777777" w:rsidR="001C1C94" w:rsidRPr="00B33993" w:rsidRDefault="001C1C94" w:rsidP="001C1C94">
      <w:pPr>
        <w:spacing w:before="100" w:beforeAutospacing="1" w:after="100" w:afterAutospacing="1" w:line="240" w:lineRule="auto"/>
      </w:pPr>
      <w:r w:rsidRPr="00B33993">
        <w:t>These headings relate to the project goals with some activities contributing to more than one heading/goal see Figure 2.2 for details.</w:t>
      </w:r>
    </w:p>
    <w:p w14:paraId="350DA101" w14:textId="77777777" w:rsidR="00421D6A" w:rsidRDefault="00421D6A" w:rsidP="00421D6A">
      <w:pPr>
        <w:pStyle w:val="Heading3"/>
      </w:pPr>
    </w:p>
    <w:p w14:paraId="66E66539" w14:textId="77777777" w:rsidR="00421D6A" w:rsidRDefault="00421D6A" w:rsidP="00421D6A">
      <w:pPr>
        <w:pStyle w:val="Heading3"/>
      </w:pPr>
    </w:p>
    <w:p w14:paraId="2FC62EF3" w14:textId="77777777" w:rsidR="00421D6A" w:rsidRDefault="00421D6A" w:rsidP="00421D6A">
      <w:pPr>
        <w:pStyle w:val="Heading3"/>
      </w:pPr>
    </w:p>
    <w:p w14:paraId="6103E1B0" w14:textId="77777777" w:rsidR="00421D6A" w:rsidRDefault="00421D6A" w:rsidP="00421D6A">
      <w:pPr>
        <w:pStyle w:val="Heading3"/>
      </w:pPr>
    </w:p>
    <w:p w14:paraId="6CF60CBA" w14:textId="77777777" w:rsidR="00421D6A" w:rsidRDefault="00421D6A" w:rsidP="00421D6A">
      <w:pPr>
        <w:pStyle w:val="Heading3"/>
      </w:pPr>
    </w:p>
    <w:p w14:paraId="36533C13" w14:textId="77777777" w:rsidR="00421D6A" w:rsidRDefault="00421D6A" w:rsidP="00421D6A">
      <w:pPr>
        <w:pStyle w:val="Heading3"/>
      </w:pPr>
    </w:p>
    <w:p w14:paraId="3CCB5BC9" w14:textId="1A0E7F9B" w:rsidR="001C1C94" w:rsidRPr="00B33993" w:rsidRDefault="001C1C94" w:rsidP="0056120D">
      <w:pPr>
        <w:pStyle w:val="Heading4"/>
      </w:pPr>
      <w:r w:rsidRPr="00B33993">
        <w:t xml:space="preserve">Figure 2.2 </w:t>
      </w:r>
      <w:proofErr w:type="gramStart"/>
      <w:r w:rsidRPr="00B33993">
        <w:t>An</w:t>
      </w:r>
      <w:proofErr w:type="gramEnd"/>
      <w:r w:rsidRPr="00B33993">
        <w:t xml:space="preserve"> Overview of Activities</w:t>
      </w:r>
    </w:p>
    <w:p w14:paraId="608CF56D" w14:textId="77777777" w:rsidR="001C1C94" w:rsidRPr="00B33993" w:rsidRDefault="001C1C94" w:rsidP="001C1C94">
      <w:pPr>
        <w:spacing w:before="100" w:beforeAutospacing="1" w:after="100" w:afterAutospacing="1" w:line="240" w:lineRule="auto"/>
      </w:pPr>
      <w:r w:rsidRPr="00B33993">
        <w:rPr>
          <w:noProof/>
          <w:bdr w:val="single" w:sz="4" w:space="0" w:color="auto"/>
          <w:lang w:val="en-IE" w:eastAsia="en-IE"/>
        </w:rPr>
        <w:drawing>
          <wp:inline distT="0" distB="0" distL="0" distR="0" wp14:anchorId="02524729" wp14:editId="29809536">
            <wp:extent cx="5113020" cy="343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X.2 Activities v1.JPG"/>
                    <pic:cNvPicPr/>
                  </pic:nvPicPr>
                  <pic:blipFill>
                    <a:blip r:embed="rId11">
                      <a:extLst>
                        <a:ext uri="{28A0092B-C50C-407E-A947-70E740481C1C}">
                          <a14:useLocalDpi xmlns:a14="http://schemas.microsoft.com/office/drawing/2010/main" val="0"/>
                        </a:ext>
                      </a:extLst>
                    </a:blip>
                    <a:stretch>
                      <a:fillRect/>
                    </a:stretch>
                  </pic:blipFill>
                  <pic:spPr>
                    <a:xfrm>
                      <a:off x="0" y="0"/>
                      <a:ext cx="5113020" cy="3436620"/>
                    </a:xfrm>
                    <a:prstGeom prst="rect">
                      <a:avLst/>
                    </a:prstGeom>
                  </pic:spPr>
                </pic:pic>
              </a:graphicData>
            </a:graphic>
          </wp:inline>
        </w:drawing>
      </w:r>
    </w:p>
    <w:p w14:paraId="1AB03469" w14:textId="77777777" w:rsidR="001C1C94" w:rsidRPr="00B33993" w:rsidRDefault="001E41EA" w:rsidP="00421D6A">
      <w:pPr>
        <w:pStyle w:val="Heading2"/>
      </w:pPr>
      <w:bookmarkStart w:id="25" w:name="_Toc394492946"/>
      <w:bookmarkStart w:id="26" w:name="_Toc394493480"/>
      <w:r>
        <w:t>2.8 Project</w:t>
      </w:r>
      <w:r w:rsidR="00523AEE">
        <w:t xml:space="preserve"> </w:t>
      </w:r>
      <w:r w:rsidR="001C1C94" w:rsidRPr="00B33993">
        <w:t>timeline</w:t>
      </w:r>
      <w:bookmarkEnd w:id="25"/>
      <w:bookmarkEnd w:id="26"/>
    </w:p>
    <w:p w14:paraId="74D76381" w14:textId="77777777" w:rsidR="00F55AE4" w:rsidRPr="00B33993" w:rsidRDefault="00F55AE4" w:rsidP="00F55AE4">
      <w:pPr>
        <w:spacing w:line="240" w:lineRule="auto"/>
      </w:pPr>
      <w:r w:rsidRPr="00B33993">
        <w:t xml:space="preserve">See Figure 2.3 for details of the </w:t>
      </w:r>
      <w:r>
        <w:t xml:space="preserve">overall timeline. </w:t>
      </w:r>
      <w:r w:rsidR="00DD0D63">
        <w:t xml:space="preserve">We can break this </w:t>
      </w:r>
      <w:r w:rsidRPr="00B33993">
        <w:t>do</w:t>
      </w:r>
      <w:r w:rsidR="00100E81">
        <w:t>wn into two phases</w:t>
      </w:r>
      <w:r w:rsidRPr="00B33993">
        <w:t>:</w:t>
      </w:r>
    </w:p>
    <w:p w14:paraId="06113105" w14:textId="597D356E" w:rsidR="00F55AE4" w:rsidRPr="00A2374E" w:rsidRDefault="00F55AE4" w:rsidP="00F55AE4">
      <w:pPr>
        <w:spacing w:line="240" w:lineRule="auto"/>
        <w:rPr>
          <w:i/>
        </w:rPr>
      </w:pPr>
      <w:proofErr w:type="gramStart"/>
      <w:r w:rsidRPr="00A2374E">
        <w:rPr>
          <w:i/>
        </w:rPr>
        <w:t>Phase</w:t>
      </w:r>
      <w:proofErr w:type="gramEnd"/>
      <w:r w:rsidRPr="00A2374E">
        <w:rPr>
          <w:i/>
        </w:rPr>
        <w:t xml:space="preserve"> 1 The Research and Scoping </w:t>
      </w:r>
      <w:r w:rsidR="00A2374E">
        <w:rPr>
          <w:i/>
        </w:rPr>
        <w:t>Activities</w:t>
      </w:r>
      <w:r w:rsidR="00BD5C64">
        <w:rPr>
          <w:i/>
        </w:rPr>
        <w:t xml:space="preserve"> (</w:t>
      </w:r>
      <w:r w:rsidRPr="00A2374E">
        <w:rPr>
          <w:i/>
        </w:rPr>
        <w:t>2008-2011</w:t>
      </w:r>
      <w:r w:rsidR="00BD5C64">
        <w:rPr>
          <w:i/>
        </w:rPr>
        <w:t>)</w:t>
      </w:r>
      <w:r w:rsidRPr="00A2374E">
        <w:rPr>
          <w:i/>
        </w:rPr>
        <w:t xml:space="preserve"> which included:</w:t>
      </w:r>
    </w:p>
    <w:p w14:paraId="5C9248AF" w14:textId="2BF8C7D8" w:rsidR="00F55AE4" w:rsidRPr="00B33993" w:rsidRDefault="00F55AE4" w:rsidP="009B4794">
      <w:pPr>
        <w:pStyle w:val="ListParagraph"/>
        <w:numPr>
          <w:ilvl w:val="0"/>
          <w:numId w:val="6"/>
        </w:numPr>
        <w:spacing w:line="240" w:lineRule="auto"/>
      </w:pPr>
      <w:r w:rsidRPr="00B33993">
        <w:t>Establishment of the Steering Committee</w:t>
      </w:r>
    </w:p>
    <w:p w14:paraId="72FB406E" w14:textId="56B151F0" w:rsidR="00F55AE4" w:rsidRPr="00B33993" w:rsidRDefault="00F55AE4" w:rsidP="009B4794">
      <w:pPr>
        <w:pStyle w:val="ListParagraph"/>
        <w:numPr>
          <w:ilvl w:val="0"/>
          <w:numId w:val="6"/>
        </w:numPr>
        <w:spacing w:line="240" w:lineRule="auto"/>
      </w:pPr>
      <w:r w:rsidRPr="00B33993">
        <w:t>Work by the Steering Committee to agree shared objectives and goals</w:t>
      </w:r>
    </w:p>
    <w:p w14:paraId="2BE3BA84" w14:textId="6BA13DA7" w:rsidR="00F55AE4" w:rsidRPr="00B33993" w:rsidRDefault="00F55AE4" w:rsidP="009B4794">
      <w:pPr>
        <w:pStyle w:val="ListParagraph"/>
        <w:numPr>
          <w:ilvl w:val="0"/>
          <w:numId w:val="6"/>
        </w:numPr>
        <w:spacing w:line="240" w:lineRule="auto"/>
      </w:pPr>
      <w:r w:rsidRPr="00B33993">
        <w:t>Development</w:t>
      </w:r>
      <w:r>
        <w:t xml:space="preserve"> of the terms of reference for the</w:t>
      </w:r>
      <w:r w:rsidRPr="00B33993">
        <w:t xml:space="preserve"> scoping study on advocacy</w:t>
      </w:r>
    </w:p>
    <w:p w14:paraId="5A772BD9" w14:textId="02176604" w:rsidR="00F55AE4" w:rsidRPr="00B33993" w:rsidRDefault="00F55AE4" w:rsidP="009B4794">
      <w:pPr>
        <w:pStyle w:val="ListParagraph"/>
        <w:numPr>
          <w:ilvl w:val="0"/>
          <w:numId w:val="6"/>
        </w:numPr>
        <w:spacing w:line="240" w:lineRule="auto"/>
      </w:pPr>
      <w:r w:rsidRPr="00B33993">
        <w:t>Sourcing of</w:t>
      </w:r>
      <w:r w:rsidR="006D6CE4">
        <w:t xml:space="preserve"> funding for the</w:t>
      </w:r>
      <w:r w:rsidRPr="00B33993">
        <w:t xml:space="preserve"> study</w:t>
      </w:r>
    </w:p>
    <w:p w14:paraId="28DA1221" w14:textId="23C71BDE" w:rsidR="00F55AE4" w:rsidRPr="00B33993" w:rsidRDefault="00F55AE4" w:rsidP="009B4794">
      <w:pPr>
        <w:pStyle w:val="ListParagraph"/>
        <w:numPr>
          <w:ilvl w:val="0"/>
          <w:numId w:val="6"/>
        </w:numPr>
        <w:spacing w:line="240" w:lineRule="auto"/>
      </w:pPr>
      <w:r w:rsidRPr="00B33993">
        <w:t>Implementation, completion and launch of the study</w:t>
      </w:r>
    </w:p>
    <w:p w14:paraId="50F63DD9" w14:textId="2884D237" w:rsidR="00F55AE4" w:rsidRPr="00B33993" w:rsidRDefault="00F55AE4" w:rsidP="009B4794">
      <w:pPr>
        <w:pStyle w:val="ListParagraph"/>
        <w:numPr>
          <w:ilvl w:val="0"/>
          <w:numId w:val="6"/>
        </w:numPr>
        <w:spacing w:line="240" w:lineRule="auto"/>
      </w:pPr>
      <w:r w:rsidRPr="00B33993">
        <w:t>Application and use of the study findings to develop a three year work programme</w:t>
      </w:r>
    </w:p>
    <w:p w14:paraId="11AFA113" w14:textId="77777777" w:rsidR="00F55AE4" w:rsidRPr="00B33993" w:rsidRDefault="006D6CE4" w:rsidP="009B4794">
      <w:pPr>
        <w:pStyle w:val="ListParagraph"/>
        <w:numPr>
          <w:ilvl w:val="0"/>
          <w:numId w:val="6"/>
        </w:numPr>
        <w:spacing w:line="240" w:lineRule="auto"/>
      </w:pPr>
      <w:r>
        <w:t>L</w:t>
      </w:r>
      <w:r w:rsidR="00F55AE4" w:rsidRPr="00B33993">
        <w:t xml:space="preserve">ocation of a funder (Atlantic Philanthropies) to fund the three </w:t>
      </w:r>
      <w:proofErr w:type="gramStart"/>
      <w:r>
        <w:t>year</w:t>
      </w:r>
      <w:proofErr w:type="gramEnd"/>
      <w:r>
        <w:t xml:space="preserve"> </w:t>
      </w:r>
      <w:r w:rsidR="00F55AE4" w:rsidRPr="00B33993">
        <w:t xml:space="preserve">Advocacy Initiative </w:t>
      </w:r>
      <w:r>
        <w:t>P</w:t>
      </w:r>
      <w:r w:rsidR="00F55AE4" w:rsidRPr="00B33993">
        <w:t>rogramme</w:t>
      </w:r>
      <w:r>
        <w:t>.</w:t>
      </w:r>
    </w:p>
    <w:p w14:paraId="19C31751" w14:textId="376E58EC" w:rsidR="00F55AE4" w:rsidRPr="00A2374E" w:rsidRDefault="00F55AE4" w:rsidP="00F55AE4">
      <w:pPr>
        <w:spacing w:line="240" w:lineRule="auto"/>
        <w:rPr>
          <w:i/>
        </w:rPr>
      </w:pPr>
      <w:proofErr w:type="gramStart"/>
      <w:r w:rsidRPr="00A2374E">
        <w:rPr>
          <w:i/>
        </w:rPr>
        <w:t>Phase</w:t>
      </w:r>
      <w:proofErr w:type="gramEnd"/>
      <w:r w:rsidRPr="00A2374E">
        <w:rPr>
          <w:i/>
        </w:rPr>
        <w:t xml:space="preserve"> 2 Programme Activities</w:t>
      </w:r>
      <w:r w:rsidR="00BD5C64">
        <w:rPr>
          <w:i/>
        </w:rPr>
        <w:t xml:space="preserve"> (</w:t>
      </w:r>
      <w:r w:rsidRPr="00A2374E">
        <w:rPr>
          <w:i/>
        </w:rPr>
        <w:t>2011-2014</w:t>
      </w:r>
      <w:r w:rsidR="00BD5C64">
        <w:rPr>
          <w:i/>
        </w:rPr>
        <w:t>)</w:t>
      </w:r>
      <w:r w:rsidRPr="00A2374E">
        <w:rPr>
          <w:i/>
        </w:rPr>
        <w:t xml:space="preserve"> which included</w:t>
      </w:r>
      <w:r w:rsidR="006D6CE4" w:rsidRPr="00A2374E">
        <w:rPr>
          <w:i/>
        </w:rPr>
        <w:t>:</w:t>
      </w:r>
    </w:p>
    <w:p w14:paraId="6C6247DA" w14:textId="02AFB420" w:rsidR="00F55AE4" w:rsidRPr="00B33993" w:rsidRDefault="00F55AE4" w:rsidP="009B4794">
      <w:pPr>
        <w:pStyle w:val="ListParagraph"/>
        <w:numPr>
          <w:ilvl w:val="0"/>
          <w:numId w:val="6"/>
        </w:numPr>
        <w:spacing w:line="240" w:lineRule="auto"/>
      </w:pPr>
      <w:r w:rsidRPr="00B33993">
        <w:t>Formal project launch and recruitment of project staff</w:t>
      </w:r>
    </w:p>
    <w:p w14:paraId="116B76B3" w14:textId="02B14251" w:rsidR="00F55AE4" w:rsidRPr="00B33993" w:rsidRDefault="00F55AE4" w:rsidP="009B4794">
      <w:pPr>
        <w:pStyle w:val="ListParagraph"/>
        <w:numPr>
          <w:ilvl w:val="0"/>
          <w:numId w:val="6"/>
        </w:numPr>
        <w:spacing w:line="240" w:lineRule="auto"/>
      </w:pPr>
      <w:r w:rsidRPr="00B33993">
        <w:t>Development of a working definition of social justice advocacy</w:t>
      </w:r>
    </w:p>
    <w:p w14:paraId="62B57848" w14:textId="4F57568C" w:rsidR="00F55AE4" w:rsidRPr="00B33993" w:rsidRDefault="00F55AE4" w:rsidP="009B4794">
      <w:pPr>
        <w:pStyle w:val="ListParagraph"/>
        <w:numPr>
          <w:ilvl w:val="0"/>
          <w:numId w:val="6"/>
        </w:numPr>
        <w:spacing w:line="240" w:lineRule="auto"/>
      </w:pPr>
      <w:r w:rsidRPr="00B33993">
        <w:t>Participation in external events</w:t>
      </w:r>
    </w:p>
    <w:p w14:paraId="66D45864" w14:textId="49B4E1DC" w:rsidR="00F55AE4" w:rsidRPr="009E5A21" w:rsidRDefault="00F55AE4" w:rsidP="009B4794">
      <w:pPr>
        <w:pStyle w:val="ListParagraph"/>
        <w:numPr>
          <w:ilvl w:val="0"/>
          <w:numId w:val="6"/>
        </w:numPr>
        <w:spacing w:line="240" w:lineRule="auto"/>
      </w:pPr>
      <w:r w:rsidRPr="00B33993">
        <w:t>Preparation of submissions (</w:t>
      </w:r>
      <w:r w:rsidR="001E41EA" w:rsidRPr="00B33993">
        <w:t>e.g.</w:t>
      </w:r>
      <w:r w:rsidRPr="00B33993">
        <w:t xml:space="preserve"> </w:t>
      </w:r>
      <w:r w:rsidRPr="00B33993">
        <w:rPr>
          <w:rFonts w:cs="Helvetica"/>
        </w:rPr>
        <w:t>a submission to the consultation process on the regulation of lobbying)</w:t>
      </w:r>
    </w:p>
    <w:p w14:paraId="3CF3E2C3" w14:textId="47697151" w:rsidR="009E5A21" w:rsidRPr="00B33993" w:rsidRDefault="009E5A21" w:rsidP="009B4794">
      <w:pPr>
        <w:pStyle w:val="ListParagraph"/>
        <w:numPr>
          <w:ilvl w:val="0"/>
          <w:numId w:val="6"/>
        </w:numPr>
        <w:spacing w:line="240" w:lineRule="auto"/>
      </w:pPr>
      <w:r>
        <w:t>Consultations with retired politicians, senior civil servants, media, trade unions and those experiencing poverty/exclusion</w:t>
      </w:r>
    </w:p>
    <w:p w14:paraId="7B4FE64A" w14:textId="5733F795" w:rsidR="00F55AE4" w:rsidRPr="00B33993" w:rsidRDefault="00F55AE4" w:rsidP="009B4794">
      <w:pPr>
        <w:pStyle w:val="ListParagraph"/>
        <w:numPr>
          <w:ilvl w:val="0"/>
          <w:numId w:val="6"/>
        </w:numPr>
        <w:spacing w:line="240" w:lineRule="auto"/>
      </w:pPr>
      <w:r w:rsidRPr="00B33993">
        <w:t xml:space="preserve">Mapping </w:t>
      </w:r>
      <w:r w:rsidR="00BD5C64">
        <w:t>s</w:t>
      </w:r>
      <w:r w:rsidR="006D6CE4">
        <w:t xml:space="preserve">tudy </w:t>
      </w:r>
      <w:r w:rsidRPr="00B33993">
        <w:t xml:space="preserve">of </w:t>
      </w:r>
      <w:r w:rsidR="00BD5C64">
        <w:t>s</w:t>
      </w:r>
      <w:r w:rsidRPr="00B33993">
        <w:t xml:space="preserve">ocial </w:t>
      </w:r>
      <w:r w:rsidR="00BD5C64">
        <w:t>j</w:t>
      </w:r>
      <w:r w:rsidRPr="00B33993">
        <w:t xml:space="preserve">ustice </w:t>
      </w:r>
      <w:r w:rsidR="00BD5C64">
        <w:t>a</w:t>
      </w:r>
      <w:r w:rsidRPr="00B33993">
        <w:t>dvocacy in Ireland</w:t>
      </w:r>
    </w:p>
    <w:p w14:paraId="4342AFA6" w14:textId="5B09F44B" w:rsidR="00F55AE4" w:rsidRPr="00B33993" w:rsidRDefault="00F55AE4" w:rsidP="009B4794">
      <w:pPr>
        <w:pStyle w:val="ListParagraph"/>
        <w:numPr>
          <w:ilvl w:val="0"/>
          <w:numId w:val="6"/>
        </w:numPr>
        <w:spacing w:line="240" w:lineRule="auto"/>
      </w:pPr>
      <w:r w:rsidRPr="00B33993">
        <w:t>Development of the Advocacy Initiative website</w:t>
      </w:r>
    </w:p>
    <w:p w14:paraId="70595C6D" w14:textId="5C7800CA" w:rsidR="00F55AE4" w:rsidRPr="00B33993" w:rsidRDefault="00F55AE4" w:rsidP="009B4794">
      <w:pPr>
        <w:pStyle w:val="ListParagraph"/>
        <w:numPr>
          <w:ilvl w:val="0"/>
          <w:numId w:val="6"/>
        </w:numPr>
        <w:spacing w:line="240" w:lineRule="auto"/>
      </w:pPr>
      <w:r w:rsidRPr="00B33993">
        <w:t xml:space="preserve">Social </w:t>
      </w:r>
      <w:r w:rsidR="00BD5C64">
        <w:t>m</w:t>
      </w:r>
      <w:r w:rsidRPr="00B33993">
        <w:t>edia activity (Twitter, Facebook, Flicker, You Tube)</w:t>
      </w:r>
    </w:p>
    <w:p w14:paraId="2F3BBBBB" w14:textId="3416744A" w:rsidR="00F55AE4" w:rsidRPr="00B33993" w:rsidRDefault="00BD5C64" w:rsidP="009B4794">
      <w:pPr>
        <w:pStyle w:val="ListParagraph"/>
        <w:numPr>
          <w:ilvl w:val="0"/>
          <w:numId w:val="6"/>
        </w:numPr>
        <w:spacing w:line="240" w:lineRule="auto"/>
      </w:pPr>
      <w:r>
        <w:lastRenderedPageBreak/>
        <w:t>S</w:t>
      </w:r>
      <w:r w:rsidR="006D6CE4">
        <w:t xml:space="preserve">tudy of </w:t>
      </w:r>
      <w:r>
        <w:t>p</w:t>
      </w:r>
      <w:r w:rsidR="006D6CE4">
        <w:t xml:space="preserve">olicy </w:t>
      </w:r>
      <w:r>
        <w:t>m</w:t>
      </w:r>
      <w:r w:rsidR="006D6CE4">
        <w:t xml:space="preserve">akers </w:t>
      </w:r>
      <w:r>
        <w:t>p</w:t>
      </w:r>
      <w:r w:rsidR="00F55AE4" w:rsidRPr="00B33993">
        <w:t xml:space="preserve">erceptions of </w:t>
      </w:r>
      <w:r>
        <w:t>s</w:t>
      </w:r>
      <w:r w:rsidR="00F55AE4" w:rsidRPr="00B33993">
        <w:t xml:space="preserve">ocial </w:t>
      </w:r>
      <w:r>
        <w:t>j</w:t>
      </w:r>
      <w:r w:rsidR="00F55AE4" w:rsidRPr="00B33993">
        <w:t xml:space="preserve">ustice </w:t>
      </w:r>
      <w:r>
        <w:t>a</w:t>
      </w:r>
      <w:r w:rsidR="00F55AE4" w:rsidRPr="00B33993">
        <w:t>dvocates</w:t>
      </w:r>
    </w:p>
    <w:p w14:paraId="219DD1C6" w14:textId="043AB172" w:rsidR="00F55AE4" w:rsidRPr="00B33993" w:rsidRDefault="00F55AE4" w:rsidP="009B4794">
      <w:pPr>
        <w:pStyle w:val="ListParagraph"/>
        <w:numPr>
          <w:ilvl w:val="0"/>
          <w:numId w:val="6"/>
        </w:numPr>
        <w:spacing w:line="240" w:lineRule="auto"/>
      </w:pPr>
      <w:r w:rsidRPr="00B33993">
        <w:t xml:space="preserve">Studies of the </w:t>
      </w:r>
      <w:r w:rsidR="00BD5C64">
        <w:t>l</w:t>
      </w:r>
      <w:r w:rsidRPr="00B33993">
        <w:t xml:space="preserve">inks between </w:t>
      </w:r>
      <w:r w:rsidR="00BD5C64">
        <w:t>f</w:t>
      </w:r>
      <w:r w:rsidRPr="00B33993">
        <w:t xml:space="preserve">unding and </w:t>
      </w:r>
      <w:r w:rsidR="00BD5C64">
        <w:t>a</w:t>
      </w:r>
      <w:r w:rsidRPr="00B33993">
        <w:t>dvocacy</w:t>
      </w:r>
    </w:p>
    <w:p w14:paraId="3E854E6E" w14:textId="086A3ADE" w:rsidR="00F55AE4" w:rsidRPr="00B33993" w:rsidRDefault="00F55AE4" w:rsidP="009B4794">
      <w:pPr>
        <w:pStyle w:val="ListParagraph"/>
        <w:numPr>
          <w:ilvl w:val="0"/>
          <w:numId w:val="6"/>
        </w:numPr>
        <w:spacing w:line="240" w:lineRule="auto"/>
      </w:pPr>
      <w:r w:rsidRPr="00B33993">
        <w:t>Public opinion polling</w:t>
      </w:r>
    </w:p>
    <w:p w14:paraId="1B1E9FF7" w14:textId="52941B2D" w:rsidR="00F55AE4" w:rsidRPr="00B33993" w:rsidRDefault="00F55AE4" w:rsidP="009B4794">
      <w:pPr>
        <w:pStyle w:val="ListParagraph"/>
        <w:numPr>
          <w:ilvl w:val="0"/>
          <w:numId w:val="6"/>
        </w:numPr>
        <w:spacing w:line="240" w:lineRule="auto"/>
      </w:pPr>
      <w:r w:rsidRPr="00B33993">
        <w:t xml:space="preserve">A series of </w:t>
      </w:r>
      <w:r w:rsidR="00BD5C64">
        <w:t>six</w:t>
      </w:r>
      <w:r w:rsidR="00452D28">
        <w:t xml:space="preserve"> </w:t>
      </w:r>
      <w:r w:rsidRPr="00B33993">
        <w:t xml:space="preserve">Knowledge Exchange </w:t>
      </w:r>
      <w:r w:rsidR="006D6CE4">
        <w:t>Fora</w:t>
      </w:r>
    </w:p>
    <w:p w14:paraId="00EB7D95" w14:textId="31053F8E" w:rsidR="006D6CE4" w:rsidRDefault="00F55AE4" w:rsidP="009B4794">
      <w:pPr>
        <w:pStyle w:val="ListParagraph"/>
        <w:numPr>
          <w:ilvl w:val="0"/>
          <w:numId w:val="6"/>
        </w:numPr>
        <w:spacing w:line="240" w:lineRule="auto"/>
      </w:pPr>
      <w:r w:rsidRPr="00B33993">
        <w:t>A series of local events</w:t>
      </w:r>
    </w:p>
    <w:p w14:paraId="653D6F1B" w14:textId="533B31A6" w:rsidR="006D6CE4" w:rsidRDefault="006D6CE4" w:rsidP="009B4794">
      <w:pPr>
        <w:pStyle w:val="ListParagraph"/>
        <w:numPr>
          <w:ilvl w:val="0"/>
          <w:numId w:val="6"/>
        </w:numPr>
        <w:spacing w:line="240" w:lineRule="auto"/>
      </w:pPr>
      <w:r>
        <w:t>Preparation of a guide</w:t>
      </w:r>
      <w:r w:rsidR="00452D28">
        <w:t xml:space="preserve"> to</w:t>
      </w:r>
      <w:r>
        <w:t xml:space="preserve"> the </w:t>
      </w:r>
      <w:r w:rsidR="00BD5C64">
        <w:t>r</w:t>
      </w:r>
      <w:r w:rsidRPr="00B33993">
        <w:t xml:space="preserve">egulatory </w:t>
      </w:r>
      <w:r w:rsidR="00BD5C64">
        <w:t>e</w:t>
      </w:r>
      <w:r w:rsidRPr="00B33993">
        <w:t xml:space="preserve">nvironment for </w:t>
      </w:r>
      <w:r w:rsidR="00BD5C64">
        <w:t>s</w:t>
      </w:r>
      <w:r w:rsidRPr="00B33993">
        <w:t xml:space="preserve">ocial </w:t>
      </w:r>
      <w:r w:rsidR="00BD5C64">
        <w:t>j</w:t>
      </w:r>
      <w:r w:rsidRPr="00B33993">
        <w:t xml:space="preserve">ustice </w:t>
      </w:r>
      <w:r w:rsidR="00BD5C64">
        <w:t>a</w:t>
      </w:r>
      <w:r w:rsidRPr="00B33993">
        <w:t>dvocacy in Ireland</w:t>
      </w:r>
    </w:p>
    <w:p w14:paraId="00DC3E93" w14:textId="2D17D3E2" w:rsidR="006D6CE4" w:rsidRDefault="006D6CE4" w:rsidP="009B4794">
      <w:pPr>
        <w:pStyle w:val="ListParagraph"/>
        <w:numPr>
          <w:ilvl w:val="0"/>
          <w:numId w:val="6"/>
        </w:numPr>
        <w:spacing w:line="240" w:lineRule="auto"/>
      </w:pPr>
      <w:r>
        <w:t xml:space="preserve">Development of the </w:t>
      </w:r>
      <w:r w:rsidR="00BD5C64" w:rsidRPr="00BD5C64">
        <w:rPr>
          <w:i/>
        </w:rPr>
        <w:t>Assess Your Advocacy</w:t>
      </w:r>
      <w:r w:rsidR="00BD5C64">
        <w:t xml:space="preserve"> tool</w:t>
      </w:r>
    </w:p>
    <w:p w14:paraId="1C592B3A" w14:textId="3163EA34" w:rsidR="006D6CE4" w:rsidRDefault="006D6CE4" w:rsidP="009B4794">
      <w:pPr>
        <w:pStyle w:val="ListParagraph"/>
        <w:numPr>
          <w:ilvl w:val="0"/>
          <w:numId w:val="6"/>
        </w:numPr>
        <w:spacing w:line="240" w:lineRule="auto"/>
      </w:pPr>
      <w:r>
        <w:t>Communication activities</w:t>
      </w:r>
    </w:p>
    <w:p w14:paraId="23DC0ECA" w14:textId="611C8888" w:rsidR="003F36EE" w:rsidRPr="00B33993" w:rsidRDefault="006A5A41" w:rsidP="009B4794">
      <w:pPr>
        <w:pStyle w:val="ListParagraph"/>
        <w:numPr>
          <w:ilvl w:val="0"/>
          <w:numId w:val="6"/>
        </w:numPr>
        <w:spacing w:line="240" w:lineRule="auto"/>
      </w:pPr>
      <w:r>
        <w:t>Developing indicators for the measurement of social justice adv</w:t>
      </w:r>
      <w:r w:rsidR="007908B2">
        <w:t>o</w:t>
      </w:r>
      <w:r>
        <w:t>cacy</w:t>
      </w:r>
    </w:p>
    <w:p w14:paraId="4C301BA2" w14:textId="77777777" w:rsidR="00F55AE4" w:rsidRPr="00B33993" w:rsidRDefault="00F55AE4" w:rsidP="006D6CE4">
      <w:pPr>
        <w:pStyle w:val="ListParagraph"/>
        <w:spacing w:line="240" w:lineRule="auto"/>
      </w:pPr>
    </w:p>
    <w:p w14:paraId="697EF839" w14:textId="77777777" w:rsidR="0056120D" w:rsidRDefault="00F55AE4" w:rsidP="0056120D">
      <w:pPr>
        <w:pStyle w:val="Heading4"/>
      </w:pPr>
      <w:r w:rsidRPr="00B33993">
        <w:t xml:space="preserve">Figure 2.3 </w:t>
      </w:r>
      <w:proofErr w:type="gramStart"/>
      <w:r w:rsidRPr="00B33993">
        <w:t>The</w:t>
      </w:r>
      <w:proofErr w:type="gramEnd"/>
      <w:r w:rsidRPr="00B33993">
        <w:t xml:space="preserve"> Timeline</w:t>
      </w:r>
    </w:p>
    <w:p w14:paraId="2ECE9200" w14:textId="41058F79" w:rsidR="00F54488" w:rsidRDefault="00F54488" w:rsidP="00F55AE4">
      <w:pPr>
        <w:spacing w:line="240" w:lineRule="auto"/>
        <w:rPr>
          <w:b/>
        </w:rPr>
      </w:pPr>
      <w:r>
        <w:rPr>
          <w:b/>
          <w:noProof/>
          <w:lang w:val="en-IE" w:eastAsia="en-IE"/>
        </w:rPr>
        <w:drawing>
          <wp:inline distT="0" distB="0" distL="0" distR="0" wp14:anchorId="0D5DDFBD" wp14:editId="2FD87550">
            <wp:extent cx="5731510" cy="4431665"/>
            <wp:effectExtent l="19050" t="19050" r="2159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Timeline 13514.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431665"/>
                    </a:xfrm>
                    <a:prstGeom prst="rect">
                      <a:avLst/>
                    </a:prstGeom>
                    <a:ln>
                      <a:solidFill>
                        <a:schemeClr val="tx1"/>
                      </a:solidFill>
                    </a:ln>
                  </pic:spPr>
                </pic:pic>
              </a:graphicData>
            </a:graphic>
          </wp:inline>
        </w:drawing>
      </w:r>
    </w:p>
    <w:p w14:paraId="71523297" w14:textId="77777777" w:rsidR="009B75D0" w:rsidRDefault="009B75D0" w:rsidP="00F55AE4">
      <w:pPr>
        <w:spacing w:line="240" w:lineRule="auto"/>
        <w:rPr>
          <w:b/>
        </w:rPr>
      </w:pPr>
    </w:p>
    <w:p w14:paraId="796BB780" w14:textId="77777777" w:rsidR="009B75D0" w:rsidRDefault="009B75D0" w:rsidP="00F55AE4">
      <w:pPr>
        <w:spacing w:line="240" w:lineRule="auto"/>
        <w:rPr>
          <w:b/>
        </w:rPr>
      </w:pPr>
    </w:p>
    <w:p w14:paraId="346B9207" w14:textId="77777777" w:rsidR="009B75D0" w:rsidRDefault="009B75D0" w:rsidP="00F55AE4">
      <w:pPr>
        <w:spacing w:line="240" w:lineRule="auto"/>
        <w:rPr>
          <w:b/>
        </w:rPr>
      </w:pPr>
    </w:p>
    <w:p w14:paraId="1DCDD902" w14:textId="77777777" w:rsidR="009B75D0" w:rsidRDefault="009B75D0" w:rsidP="00F55AE4">
      <w:pPr>
        <w:spacing w:line="240" w:lineRule="auto"/>
        <w:rPr>
          <w:b/>
        </w:rPr>
      </w:pPr>
    </w:p>
    <w:p w14:paraId="7D0AD99F" w14:textId="77777777" w:rsidR="009B75D0" w:rsidRDefault="009B75D0" w:rsidP="00F55AE4">
      <w:pPr>
        <w:spacing w:line="240" w:lineRule="auto"/>
        <w:rPr>
          <w:b/>
        </w:rPr>
      </w:pPr>
    </w:p>
    <w:p w14:paraId="244B95EF" w14:textId="77777777" w:rsidR="009B75D0" w:rsidRDefault="009B75D0" w:rsidP="00F55AE4">
      <w:pPr>
        <w:spacing w:line="240" w:lineRule="auto"/>
        <w:rPr>
          <w:b/>
        </w:rPr>
      </w:pPr>
    </w:p>
    <w:p w14:paraId="02C3BE54" w14:textId="77777777" w:rsidR="009B75D0" w:rsidRDefault="009B75D0" w:rsidP="00F55AE4">
      <w:pPr>
        <w:spacing w:line="240" w:lineRule="auto"/>
        <w:rPr>
          <w:b/>
        </w:rPr>
      </w:pPr>
    </w:p>
    <w:p w14:paraId="2A696174" w14:textId="77777777" w:rsidR="009B75D0" w:rsidRDefault="009B75D0" w:rsidP="00F55AE4">
      <w:pPr>
        <w:spacing w:line="240" w:lineRule="auto"/>
        <w:rPr>
          <w:b/>
        </w:rPr>
      </w:pPr>
    </w:p>
    <w:p w14:paraId="27CC56D1" w14:textId="77777777" w:rsidR="009B75D0" w:rsidRDefault="009B75D0" w:rsidP="00F55AE4">
      <w:pPr>
        <w:spacing w:line="240" w:lineRule="auto"/>
        <w:rPr>
          <w:b/>
        </w:rPr>
      </w:pPr>
    </w:p>
    <w:p w14:paraId="652B58D4" w14:textId="77777777" w:rsidR="009B75D0" w:rsidRDefault="009B75D0" w:rsidP="00F55AE4">
      <w:pPr>
        <w:spacing w:line="240" w:lineRule="auto"/>
        <w:rPr>
          <w:b/>
        </w:rPr>
      </w:pPr>
    </w:p>
    <w:p w14:paraId="1BCC0BA4" w14:textId="77777777" w:rsidR="001C1C94" w:rsidRPr="00B33993" w:rsidRDefault="00EE4074" w:rsidP="00421D6A">
      <w:pPr>
        <w:pStyle w:val="Heading2"/>
      </w:pPr>
      <w:bookmarkStart w:id="27" w:name="_Toc394492947"/>
      <w:bookmarkStart w:id="28" w:name="_Toc394493481"/>
      <w:r w:rsidRPr="00B33993">
        <w:t xml:space="preserve">2.9 </w:t>
      </w:r>
      <w:r w:rsidR="001C1C94" w:rsidRPr="00B33993">
        <w:t xml:space="preserve">Outputs </w:t>
      </w:r>
      <w:r w:rsidRPr="00B33993">
        <w:t>and events</w:t>
      </w:r>
      <w:bookmarkEnd w:id="27"/>
      <w:bookmarkEnd w:id="28"/>
    </w:p>
    <w:p w14:paraId="7DE7667F" w14:textId="4F561E50" w:rsidR="001C1C94" w:rsidRPr="00B33993" w:rsidRDefault="00DD0D63" w:rsidP="00BD42A7">
      <w:pPr>
        <w:spacing w:line="240" w:lineRule="auto"/>
      </w:pPr>
      <w:r>
        <w:t xml:space="preserve">We </w:t>
      </w:r>
      <w:r w:rsidR="001C1C94" w:rsidRPr="00B33993">
        <w:t>generated a number of distinct outputs which clearly contribute to the levels of knowledge</w:t>
      </w:r>
      <w:r w:rsidR="00BF327E">
        <w:t xml:space="preserve"> and capacity and well as promoting increased levels of self-reflection </w:t>
      </w:r>
      <w:r w:rsidR="001C1C94" w:rsidRPr="00B33993">
        <w:t>in relation to social justice advoca</w:t>
      </w:r>
      <w:r>
        <w:t xml:space="preserve">cy.  See Table 2.2 for details </w:t>
      </w:r>
    </w:p>
    <w:tbl>
      <w:tblPr>
        <w:tblStyle w:val="TableGrid"/>
        <w:tblW w:w="9322" w:type="dxa"/>
        <w:tblLook w:val="04A0" w:firstRow="1" w:lastRow="0" w:firstColumn="1" w:lastColumn="0" w:noHBand="0" w:noVBand="1"/>
      </w:tblPr>
      <w:tblGrid>
        <w:gridCol w:w="2474"/>
        <w:gridCol w:w="6848"/>
      </w:tblGrid>
      <w:tr w:rsidR="001C1C94" w:rsidRPr="00B33993" w14:paraId="740D118A" w14:textId="77777777" w:rsidTr="00EE4074">
        <w:tc>
          <w:tcPr>
            <w:tcW w:w="9322" w:type="dxa"/>
            <w:gridSpan w:val="2"/>
            <w:shd w:val="clear" w:color="auto" w:fill="CCC0D9" w:themeFill="accent4" w:themeFillTint="66"/>
          </w:tcPr>
          <w:p w14:paraId="7EADFE98" w14:textId="3C9FF97C" w:rsidR="001C1C94" w:rsidRPr="00421D6A" w:rsidRDefault="001C1C94" w:rsidP="0056120D">
            <w:pPr>
              <w:pStyle w:val="Heading4"/>
              <w:outlineLvl w:val="3"/>
            </w:pPr>
            <w:r w:rsidRPr="00B33993">
              <w:t>Table 2.2</w:t>
            </w:r>
            <w:r w:rsidR="0056120D">
              <w:t xml:space="preserve"> -</w:t>
            </w:r>
            <w:r w:rsidRPr="00B33993">
              <w:t xml:space="preserve"> Outputs </w:t>
            </w:r>
          </w:p>
        </w:tc>
      </w:tr>
      <w:tr w:rsidR="001C1C94" w:rsidRPr="00B33993" w14:paraId="04500777" w14:textId="77777777" w:rsidTr="00EE4074">
        <w:tc>
          <w:tcPr>
            <w:tcW w:w="2474" w:type="dxa"/>
          </w:tcPr>
          <w:p w14:paraId="3466D2F2" w14:textId="77777777" w:rsidR="001C1C94" w:rsidRPr="00B33993" w:rsidRDefault="001C1C94" w:rsidP="001C1C94">
            <w:r w:rsidRPr="00B33993">
              <w:t>Project Scoping Report</w:t>
            </w:r>
          </w:p>
          <w:p w14:paraId="67B75279" w14:textId="77777777" w:rsidR="001C1C94" w:rsidRPr="00B33993" w:rsidRDefault="001C1C94" w:rsidP="001C1C94"/>
        </w:tc>
        <w:tc>
          <w:tcPr>
            <w:tcW w:w="6848" w:type="dxa"/>
          </w:tcPr>
          <w:p w14:paraId="7EE3CD83" w14:textId="77777777" w:rsidR="001C1C94" w:rsidRPr="00B33993" w:rsidRDefault="001C1C94" w:rsidP="00A2374E">
            <w:r w:rsidRPr="00B33993">
              <w:t xml:space="preserve">This </w:t>
            </w:r>
            <w:r w:rsidR="00A2374E">
              <w:t>research examined</w:t>
            </w:r>
            <w:r w:rsidRPr="00B33993">
              <w:t xml:space="preserve"> the literature on advocacy.  It involved a survey of 170 community and voluntary organisations to assess the extent and nature of advocacy work being undertaken by these organisations. Interviews were conducted with a small number of policy makers</w:t>
            </w:r>
            <w:r w:rsidR="003F36EE">
              <w:t>,</w:t>
            </w:r>
            <w:r w:rsidRPr="00B33993">
              <w:t xml:space="preserve"> few of whom had a clear view on the advocacy role of the community and voluntary sector.   A series of recommendations for action were identified as a result of these consultations and analysis and these were used as the basis for the development and funding of the three year Advocacy Initiative work programme</w:t>
            </w:r>
            <w:r w:rsidR="003F36EE">
              <w:t>.</w:t>
            </w:r>
          </w:p>
        </w:tc>
      </w:tr>
      <w:tr w:rsidR="001C1C94" w:rsidRPr="00B33993" w14:paraId="355AEF25" w14:textId="77777777" w:rsidTr="00EE4074">
        <w:tc>
          <w:tcPr>
            <w:tcW w:w="2474" w:type="dxa"/>
          </w:tcPr>
          <w:p w14:paraId="0D3B10DD" w14:textId="77777777" w:rsidR="001C1C94" w:rsidRPr="00B33993" w:rsidRDefault="001C1C94" w:rsidP="001C1C94">
            <w:r w:rsidRPr="00B33993">
              <w:t>Statement on Social Justice Advocacy</w:t>
            </w:r>
          </w:p>
        </w:tc>
        <w:tc>
          <w:tcPr>
            <w:tcW w:w="6848" w:type="dxa"/>
          </w:tcPr>
          <w:p w14:paraId="2E029D57" w14:textId="77777777" w:rsidR="001C1C94" w:rsidRPr="00B33993" w:rsidRDefault="001C1C94" w:rsidP="00A2374E">
            <w:pPr>
              <w:autoSpaceDE w:val="0"/>
              <w:autoSpaceDN w:val="0"/>
              <w:adjustRightInd w:val="0"/>
            </w:pPr>
            <w:r w:rsidRPr="00B33993">
              <w:t>The working statem</w:t>
            </w:r>
            <w:r w:rsidR="00A2374E">
              <w:t xml:space="preserve">ent on social justice advocacy </w:t>
            </w:r>
            <w:r w:rsidRPr="00B33993">
              <w:t xml:space="preserve">was </w:t>
            </w:r>
            <w:r w:rsidR="00A2374E">
              <w:t xml:space="preserve">developed in order </w:t>
            </w:r>
            <w:r w:rsidRPr="00B33993">
              <w:t>to inform the development of the Initiative</w:t>
            </w:r>
            <w:r w:rsidR="00A2374E">
              <w:t>. The</w:t>
            </w:r>
            <w:r w:rsidRPr="00B33993">
              <w:t xml:space="preserve"> statement was also designed to inform </w:t>
            </w:r>
            <w:r w:rsidR="00A2374E">
              <w:t xml:space="preserve">and stimulate </w:t>
            </w:r>
            <w:r w:rsidRPr="00B33993">
              <w:t>conversations, debates and reflectio</w:t>
            </w:r>
            <w:r w:rsidR="00A2374E">
              <w:t>ns organised by the Initiative.</w:t>
            </w:r>
          </w:p>
        </w:tc>
      </w:tr>
      <w:tr w:rsidR="001C1C94" w:rsidRPr="00B33993" w14:paraId="1A5E3134" w14:textId="77777777" w:rsidTr="00EE4074">
        <w:tc>
          <w:tcPr>
            <w:tcW w:w="2474" w:type="dxa"/>
          </w:tcPr>
          <w:p w14:paraId="7C951E6D" w14:textId="77777777" w:rsidR="001C1C94" w:rsidRPr="00B33993" w:rsidRDefault="001C1C94" w:rsidP="001C1C94">
            <w:r w:rsidRPr="00B33993">
              <w:t>Guide to Social Justice Advocacy Training Opportunities</w:t>
            </w:r>
          </w:p>
        </w:tc>
        <w:tc>
          <w:tcPr>
            <w:tcW w:w="6848" w:type="dxa"/>
          </w:tcPr>
          <w:p w14:paraId="7FBD4071" w14:textId="77777777" w:rsidR="001C1C94" w:rsidRPr="00B33993" w:rsidRDefault="001C1C94" w:rsidP="00A2374E">
            <w:pPr>
              <w:autoSpaceDE w:val="0"/>
              <w:autoSpaceDN w:val="0"/>
              <w:adjustRightInd w:val="0"/>
              <w:rPr>
                <w:rFonts w:cs="Helvetica"/>
              </w:rPr>
            </w:pPr>
            <w:r w:rsidRPr="00B33993">
              <w:t xml:space="preserve">This </w:t>
            </w:r>
            <w:r w:rsidR="00A2374E">
              <w:t xml:space="preserve">online guide </w:t>
            </w:r>
            <w:r w:rsidRPr="00B33993">
              <w:t xml:space="preserve">was compiled based on </w:t>
            </w:r>
            <w:r w:rsidRPr="00B33993">
              <w:rPr>
                <w:rFonts w:cs="Helvetica"/>
              </w:rPr>
              <w:t xml:space="preserve">research conducted by Irish Charities Tax Research (ICTR) for Atlantic Philanthropies. It was updated in </w:t>
            </w:r>
            <w:r w:rsidR="004611C7">
              <w:rPr>
                <w:rFonts w:cs="Helvetica"/>
              </w:rPr>
              <w:t>2012, 2013</w:t>
            </w:r>
            <w:r w:rsidRPr="00B33993">
              <w:rPr>
                <w:rFonts w:cs="Helvetica"/>
              </w:rPr>
              <w:t xml:space="preserve"> and </w:t>
            </w:r>
            <w:r w:rsidR="004611C7">
              <w:rPr>
                <w:rFonts w:cs="Helvetica"/>
              </w:rPr>
              <w:t>2014.</w:t>
            </w:r>
          </w:p>
        </w:tc>
      </w:tr>
      <w:tr w:rsidR="001C1C94" w:rsidRPr="00B33993" w14:paraId="31887F09" w14:textId="77777777" w:rsidTr="00EE4074">
        <w:tc>
          <w:tcPr>
            <w:tcW w:w="2474" w:type="dxa"/>
          </w:tcPr>
          <w:p w14:paraId="2A925F00" w14:textId="31497870" w:rsidR="001C1C94" w:rsidRPr="00B33993" w:rsidRDefault="001C1C94" w:rsidP="001C1C94">
            <w:r w:rsidRPr="00B33993">
              <w:t xml:space="preserve">Mapping of Social Justice Advocacy </w:t>
            </w:r>
            <w:r w:rsidR="003F36EE">
              <w:t>i</w:t>
            </w:r>
            <w:r w:rsidRPr="00B33993">
              <w:t>n Ireland Study (2012)</w:t>
            </w:r>
            <w:r w:rsidR="00952106">
              <w:t xml:space="preserve"> (including five </w:t>
            </w:r>
            <w:r w:rsidR="00952106" w:rsidRPr="00B33993">
              <w:t>case studies of effective social justice advocacy</w:t>
            </w:r>
            <w:r w:rsidR="00952106">
              <w:t>)</w:t>
            </w:r>
          </w:p>
        </w:tc>
        <w:tc>
          <w:tcPr>
            <w:tcW w:w="6848" w:type="dxa"/>
          </w:tcPr>
          <w:p w14:paraId="4C5344F0" w14:textId="468034F2" w:rsidR="001C1C94" w:rsidRPr="00B33993" w:rsidRDefault="001C1C94" w:rsidP="003F36EE">
            <w:r w:rsidRPr="00B33993">
              <w:t xml:space="preserve">This </w:t>
            </w:r>
            <w:r w:rsidR="00A2374E">
              <w:t xml:space="preserve">research examined and documented the breadth, </w:t>
            </w:r>
            <w:r w:rsidRPr="00B33993">
              <w:t>depth and practice of social justice advocacy with the non-profit sector in Ireland. It involved a postal survey of 288 community and voluntary organisations. It also involved a more in-depth online survey of the organisations who indicated that they were actively involved in social justice advocacy and well as benefiting from a discussion with key social justice advocates.  The study was complemented by five case study examples of effective social justice advocacy.</w:t>
            </w:r>
          </w:p>
        </w:tc>
      </w:tr>
      <w:tr w:rsidR="0023078B" w:rsidRPr="00B33993" w14:paraId="66B13C83" w14:textId="77777777" w:rsidTr="00C56129">
        <w:trPr>
          <w:trHeight w:val="1084"/>
        </w:trPr>
        <w:tc>
          <w:tcPr>
            <w:tcW w:w="2474" w:type="dxa"/>
          </w:tcPr>
          <w:p w14:paraId="5C7E398F" w14:textId="38F5F123" w:rsidR="0023078B" w:rsidRPr="00B33993" w:rsidRDefault="0023078B" w:rsidP="0023078B">
            <w:r w:rsidRPr="00B33993">
              <w:t>Public Opinion Poll</w:t>
            </w:r>
            <w:r>
              <w:t xml:space="preserve">ing </w:t>
            </w:r>
            <w:r w:rsidRPr="00B33993">
              <w:t xml:space="preserve"> (Nov 2012</w:t>
            </w:r>
            <w:r>
              <w:t xml:space="preserve"> &amp; </w:t>
            </w:r>
            <w:r w:rsidRPr="00B33993">
              <w:t>June 2013)</w:t>
            </w:r>
          </w:p>
        </w:tc>
        <w:tc>
          <w:tcPr>
            <w:tcW w:w="6848" w:type="dxa"/>
          </w:tcPr>
          <w:p w14:paraId="7173131D" w14:textId="7FADF374" w:rsidR="0023078B" w:rsidRPr="00A2374E" w:rsidRDefault="0023078B" w:rsidP="0023078B">
            <w:r w:rsidRPr="00A2374E">
              <w:t>The purpose of these polls (two online surveys of over 1,400 respondents over the age of 16) was to understand what the general public thought of the lobbying, campaigning and social justice advocacy work of the community and voluntary sector.</w:t>
            </w:r>
            <w:r w:rsidRPr="00A2374E">
              <w:rPr>
                <w:rFonts w:cs="Helvetica"/>
              </w:rPr>
              <w:t xml:space="preserve"> </w:t>
            </w:r>
            <w:r>
              <w:t>A</w:t>
            </w:r>
            <w:r w:rsidRPr="00B33993">
              <w:t xml:space="preserve"> summary of the findings emerging from the</w:t>
            </w:r>
            <w:r>
              <w:t>se</w:t>
            </w:r>
            <w:r w:rsidRPr="00B33993">
              <w:t xml:space="preserve"> two polls</w:t>
            </w:r>
            <w:r>
              <w:t xml:space="preserve"> was produced entitled: </w:t>
            </w:r>
            <w:r w:rsidRPr="00BF327E">
              <w:rPr>
                <w:i/>
              </w:rPr>
              <w:t>Who Cares About Social Justice Advocacy? What the public thinks</w:t>
            </w:r>
            <w:r w:rsidR="00BD5C64">
              <w:rPr>
                <w:i/>
              </w:rPr>
              <w:t>.</w:t>
            </w:r>
          </w:p>
        </w:tc>
      </w:tr>
      <w:tr w:rsidR="001C1C94" w:rsidRPr="00B33993" w14:paraId="72C3E62A" w14:textId="77777777" w:rsidTr="00EE4074">
        <w:tc>
          <w:tcPr>
            <w:tcW w:w="2474" w:type="dxa"/>
          </w:tcPr>
          <w:p w14:paraId="0103AF38" w14:textId="73DDA30A" w:rsidR="001C1C94" w:rsidRPr="00B33993" w:rsidRDefault="001C1C94" w:rsidP="001C1C94">
            <w:r w:rsidRPr="00B33993">
              <w:t>Funding Dissent Study</w:t>
            </w:r>
            <w:r w:rsidR="00B52C2C">
              <w:t>:</w:t>
            </w:r>
            <w:r w:rsidRPr="00B33993">
              <w:t xml:space="preserve"> </w:t>
            </w:r>
          </w:p>
          <w:p w14:paraId="0565B8FC" w14:textId="77777777" w:rsidR="001C1C94" w:rsidRPr="00B33993" w:rsidRDefault="001C1C94" w:rsidP="001C1C94">
            <w:r w:rsidRPr="00B33993">
              <w:t xml:space="preserve">Research into the Impact of Advocacy on State Funding of Voluntary and Community Organisations </w:t>
            </w:r>
          </w:p>
          <w:p w14:paraId="2A765385" w14:textId="65431811" w:rsidR="001C1C94" w:rsidRPr="00B33993" w:rsidRDefault="001C1C94" w:rsidP="001C1C94">
            <w:r w:rsidRPr="00B33993">
              <w:t>(2013)</w:t>
            </w:r>
          </w:p>
        </w:tc>
        <w:tc>
          <w:tcPr>
            <w:tcW w:w="6848" w:type="dxa"/>
          </w:tcPr>
          <w:p w14:paraId="186EEE97" w14:textId="4F61B1A9" w:rsidR="001C1C94" w:rsidRPr="00B33993" w:rsidRDefault="001C1C94" w:rsidP="007908B2">
            <w:pPr>
              <w:autoSpaceDE w:val="0"/>
              <w:autoSpaceDN w:val="0"/>
              <w:adjustRightInd w:val="0"/>
              <w:rPr>
                <w:rFonts w:cs="Gotham-Book"/>
                <w:color w:val="4D4D4D"/>
              </w:rPr>
            </w:pPr>
            <w:r w:rsidRPr="00B33993">
              <w:t xml:space="preserve">This </w:t>
            </w:r>
            <w:r w:rsidR="00A2374E">
              <w:t xml:space="preserve">study explored </w:t>
            </w:r>
            <w:r w:rsidRPr="00B33993">
              <w:t xml:space="preserve">the link between advocacy and funding in </w:t>
            </w:r>
            <w:r w:rsidR="00A2374E">
              <w:t xml:space="preserve">both an </w:t>
            </w:r>
            <w:r w:rsidRPr="00B33993">
              <w:t>international and Irish context</w:t>
            </w:r>
            <w:r w:rsidR="006A5A41">
              <w:t>s</w:t>
            </w:r>
            <w:r w:rsidRPr="00B33993">
              <w:t>. It found</w:t>
            </w:r>
            <w:r w:rsidR="008A1878">
              <w:t xml:space="preserve"> in the Irish </w:t>
            </w:r>
            <w:r w:rsidR="00E9100A">
              <w:t xml:space="preserve">context </w:t>
            </w:r>
            <w:r w:rsidR="00E9100A" w:rsidRPr="00B33993">
              <w:t>inconsistent</w:t>
            </w:r>
            <w:r w:rsidRPr="00B33993">
              <w:t xml:space="preserve"> practice by government, with both provision for and prohib</w:t>
            </w:r>
            <w:r w:rsidR="008A1878">
              <w:t>ition of advocacy work. It found</w:t>
            </w:r>
            <w:r w:rsidRPr="00B33993">
              <w:t xml:space="preserve"> </w:t>
            </w:r>
            <w:r w:rsidR="007908B2">
              <w:t xml:space="preserve">limited </w:t>
            </w:r>
            <w:r w:rsidRPr="00B33993">
              <w:t xml:space="preserve">evidence of </w:t>
            </w:r>
            <w:r w:rsidR="007908B2">
              <w:t xml:space="preserve">explicit </w:t>
            </w:r>
            <w:r w:rsidRPr="00B33993">
              <w:t>hostility toward the advocacy work of voluntary organisations in the Oireachtas, indifference being identified as the greater prob</w:t>
            </w:r>
            <w:r w:rsidR="008A1878">
              <w:t>lem. It did indicate</w:t>
            </w:r>
            <w:r w:rsidRPr="00B33993">
              <w:t xml:space="preserve"> that further examination of the impact of the application of service level agreements</w:t>
            </w:r>
            <w:r w:rsidR="008A1878">
              <w:t xml:space="preserve"> that prohibit advocacy work would be </w:t>
            </w:r>
            <w:r w:rsidRPr="00B33993">
              <w:t>merited</w:t>
            </w:r>
            <w:r w:rsidRPr="00B33993">
              <w:rPr>
                <w:rFonts w:cs="Gotham-Book"/>
                <w:color w:val="4D4D4D"/>
              </w:rPr>
              <w:t>.</w:t>
            </w:r>
            <w:r w:rsidR="005225FA">
              <w:rPr>
                <w:rFonts w:cs="Gotham-Book"/>
                <w:color w:val="4D4D4D"/>
              </w:rPr>
              <w:t xml:space="preserve">  </w:t>
            </w:r>
            <w:r w:rsidR="005225FA" w:rsidRPr="00BF327E">
              <w:t xml:space="preserve">This report also sets out the ‘rational case’ for advocacy </w:t>
            </w:r>
            <w:r w:rsidR="00BF327E" w:rsidRPr="00BF327E">
              <w:t>and its</w:t>
            </w:r>
            <w:r w:rsidR="005225FA" w:rsidRPr="00BF327E">
              <w:t xml:space="preserve"> role in </w:t>
            </w:r>
            <w:r w:rsidR="00BF327E" w:rsidRPr="00BF327E">
              <w:t xml:space="preserve">a </w:t>
            </w:r>
            <w:r w:rsidR="005225FA" w:rsidRPr="00BF327E">
              <w:t>democracy</w:t>
            </w:r>
            <w:r w:rsidR="00BD5C64">
              <w:t>.</w:t>
            </w:r>
          </w:p>
        </w:tc>
      </w:tr>
      <w:tr w:rsidR="001C1C94" w:rsidRPr="00B33993" w14:paraId="5206F18A" w14:textId="77777777" w:rsidTr="00EE4074">
        <w:tc>
          <w:tcPr>
            <w:tcW w:w="2474" w:type="dxa"/>
          </w:tcPr>
          <w:p w14:paraId="6061D081" w14:textId="77777777" w:rsidR="001C1C94" w:rsidRPr="00B33993" w:rsidRDefault="001C1C94" w:rsidP="001C1C94">
            <w:r w:rsidRPr="00B33993">
              <w:t>“In Other Words”</w:t>
            </w:r>
          </w:p>
          <w:p w14:paraId="2388D508" w14:textId="77777777" w:rsidR="001C1C94" w:rsidRPr="00B33993" w:rsidRDefault="001C1C94" w:rsidP="001C1C94">
            <w:r w:rsidRPr="00B33993">
              <w:t>Policy Makers’ Perceptions</w:t>
            </w:r>
          </w:p>
          <w:p w14:paraId="53616A86" w14:textId="77777777" w:rsidR="001C1C94" w:rsidRPr="00B33993" w:rsidRDefault="001C1C94" w:rsidP="001C1C94">
            <w:r w:rsidRPr="00B33993">
              <w:t xml:space="preserve">of Social Justice </w:t>
            </w:r>
            <w:r w:rsidRPr="00B33993">
              <w:lastRenderedPageBreak/>
              <w:t>Advocacy (2013)</w:t>
            </w:r>
          </w:p>
        </w:tc>
        <w:tc>
          <w:tcPr>
            <w:tcW w:w="6848" w:type="dxa"/>
          </w:tcPr>
          <w:p w14:paraId="5B406F9E" w14:textId="1EAEB9BA" w:rsidR="001C1C94" w:rsidRPr="00B33993" w:rsidRDefault="008A1878" w:rsidP="007908B2">
            <w:pPr>
              <w:autoSpaceDE w:val="0"/>
              <w:autoSpaceDN w:val="0"/>
              <w:adjustRightInd w:val="0"/>
            </w:pPr>
            <w:r>
              <w:lastRenderedPageBreak/>
              <w:t xml:space="preserve">This </w:t>
            </w:r>
            <w:r w:rsidR="00E16E5F" w:rsidRPr="00B33993">
              <w:t xml:space="preserve">study </w:t>
            </w:r>
            <w:r w:rsidR="007908B2">
              <w:t>(</w:t>
            </w:r>
            <w:r w:rsidR="00E16E5F" w:rsidRPr="00B33993">
              <w:t xml:space="preserve">conducted using a participatory research approach </w:t>
            </w:r>
            <w:r w:rsidR="00E16E5F">
              <w:t xml:space="preserve">which involved </w:t>
            </w:r>
            <w:r w:rsidR="00E16E5F" w:rsidRPr="00B33993">
              <w:t>seven social justice advocates in the research process</w:t>
            </w:r>
            <w:r w:rsidR="00E16E5F">
              <w:t xml:space="preserve">) </w:t>
            </w:r>
            <w:r>
              <w:t>explored</w:t>
            </w:r>
            <w:r w:rsidR="001C1C94" w:rsidRPr="00B33993">
              <w:t xml:space="preserve"> 33 policy makers and </w:t>
            </w:r>
            <w:r w:rsidR="007908B2" w:rsidRPr="00B33993">
              <w:t>influencer’s</w:t>
            </w:r>
            <w:r w:rsidR="001C1C94" w:rsidRPr="00B33993">
              <w:t xml:space="preserve"> views on social justice advocacy. </w:t>
            </w:r>
            <w:r w:rsidR="00E16E5F">
              <w:t>Among the critical observations arising from the study were</w:t>
            </w:r>
            <w:r w:rsidR="002E4821">
              <w:t xml:space="preserve"> concerns about the </w:t>
            </w:r>
            <w:r w:rsidR="002E4821">
              <w:lastRenderedPageBreak/>
              <w:t>legitimacy and representativeness of some community and voluntary sector organisations.  Policy</w:t>
            </w:r>
            <w:r w:rsidR="00B52C2C">
              <w:t>-</w:t>
            </w:r>
            <w:r w:rsidR="002E4821">
              <w:t>makers also recognised a clear tension for community and voluntary sector organisations in relation to being part of the system and also providing a critique of the system.  The diversity of the sector was also found to be an issue in terms of being definitive about the role and purpose of the sector.  Other critical observations relation to perceptions of self-interest and an absence of self-reflection within the community and voluntary sector</w:t>
            </w:r>
            <w:r w:rsidR="00B52C2C">
              <w:t>.</w:t>
            </w:r>
          </w:p>
        </w:tc>
      </w:tr>
      <w:tr w:rsidR="001C1C94" w:rsidRPr="00B33993" w14:paraId="08CB95DB" w14:textId="77777777" w:rsidTr="00EE4074">
        <w:tc>
          <w:tcPr>
            <w:tcW w:w="2474" w:type="dxa"/>
          </w:tcPr>
          <w:p w14:paraId="6F6D1F9C" w14:textId="22F78CD4" w:rsidR="001C1C94" w:rsidRPr="00B33993" w:rsidRDefault="001E41EA" w:rsidP="001C1C94">
            <w:r w:rsidRPr="00B33993">
              <w:lastRenderedPageBreak/>
              <w:t>“Are</w:t>
            </w:r>
            <w:r w:rsidR="001C1C94" w:rsidRPr="00B33993">
              <w:t xml:space="preserve"> we paying for that?” - Government Funding and Social Justice Advocacy (2014)</w:t>
            </w:r>
          </w:p>
        </w:tc>
        <w:tc>
          <w:tcPr>
            <w:tcW w:w="6848" w:type="dxa"/>
          </w:tcPr>
          <w:p w14:paraId="486293C4" w14:textId="77777777" w:rsidR="001C1C94" w:rsidRPr="00B33993" w:rsidRDefault="001C1C94" w:rsidP="008A1878">
            <w:pPr>
              <w:autoSpaceDE w:val="0"/>
              <w:autoSpaceDN w:val="0"/>
              <w:adjustRightInd w:val="0"/>
            </w:pPr>
            <w:r w:rsidRPr="00B33993">
              <w:t xml:space="preserve">This </w:t>
            </w:r>
            <w:r w:rsidR="008A1878">
              <w:t xml:space="preserve">study explored </w:t>
            </w:r>
            <w:r w:rsidRPr="00B33993">
              <w:t>the funding relationship between the state and voluntary and community organizations engaged in pub</w:t>
            </w:r>
            <w:r w:rsidR="008A1878">
              <w:t xml:space="preserve">lic policy advocacy in Ireland from the perspective of the </w:t>
            </w:r>
            <w:r w:rsidRPr="00B33993">
              <w:t xml:space="preserve">voluntary and community </w:t>
            </w:r>
            <w:r w:rsidR="008A1878">
              <w:t>sector. It found relationships</w:t>
            </w:r>
            <w:r w:rsidR="008A1878" w:rsidRPr="00B33993">
              <w:t xml:space="preserve"> </w:t>
            </w:r>
            <w:r w:rsidRPr="00B33993">
              <w:t xml:space="preserve">on a continuum </w:t>
            </w:r>
            <w:r w:rsidR="008A1878">
              <w:t xml:space="preserve">from the </w:t>
            </w:r>
            <w:r w:rsidRPr="00B33993">
              <w:t>inhibition and suppression of advocacy</w:t>
            </w:r>
            <w:r w:rsidR="008A1878">
              <w:rPr>
                <w:rFonts w:cs="Calibre-Regular"/>
              </w:rPr>
              <w:t xml:space="preserve"> to active and positive support for advocacy work.</w:t>
            </w:r>
          </w:p>
        </w:tc>
      </w:tr>
      <w:tr w:rsidR="001C1C94" w:rsidRPr="00B33993" w14:paraId="43B6583D" w14:textId="77777777" w:rsidTr="00EE4074">
        <w:tc>
          <w:tcPr>
            <w:tcW w:w="2474" w:type="dxa"/>
          </w:tcPr>
          <w:p w14:paraId="0540A943" w14:textId="77777777" w:rsidR="001C1C94" w:rsidRPr="00B33993" w:rsidRDefault="001C1C94" w:rsidP="001C1C94">
            <w:r w:rsidRPr="00B33993">
              <w:t xml:space="preserve">The Regulatory Environment for Social Justice Advocacy in Ireland </w:t>
            </w:r>
          </w:p>
        </w:tc>
        <w:tc>
          <w:tcPr>
            <w:tcW w:w="6848" w:type="dxa"/>
          </w:tcPr>
          <w:p w14:paraId="1CAA1362" w14:textId="157F4B7D" w:rsidR="001C1C94" w:rsidRPr="00B33993" w:rsidRDefault="001C1C94" w:rsidP="008A1878">
            <w:pPr>
              <w:autoSpaceDE w:val="0"/>
              <w:autoSpaceDN w:val="0"/>
              <w:adjustRightInd w:val="0"/>
              <w:rPr>
                <w:rFonts w:cs="Apercu-Regular"/>
              </w:rPr>
            </w:pPr>
            <w:r w:rsidRPr="00B33993">
              <w:t xml:space="preserve">This </w:t>
            </w:r>
            <w:r w:rsidR="008A1878">
              <w:t xml:space="preserve">study offers </w:t>
            </w:r>
            <w:r w:rsidRPr="00B33993">
              <w:t xml:space="preserve">an overview of the regulations, both formal and informal, which affect the social justice advocacy environment in Ireland.  It also anticipates the challenges that will be posed for the sector with the introduction of legislation in relation to the </w:t>
            </w:r>
            <w:r w:rsidR="00BD5C64">
              <w:t>r</w:t>
            </w:r>
            <w:r w:rsidRPr="00B33993">
              <w:t xml:space="preserve">egulation of </w:t>
            </w:r>
            <w:r w:rsidR="00BD5C64">
              <w:t>l</w:t>
            </w:r>
            <w:r w:rsidRPr="00B33993">
              <w:t>obbyists and the Charities Act</w:t>
            </w:r>
            <w:r w:rsidR="00BD5C64">
              <w:t xml:space="preserve"> 2009</w:t>
            </w:r>
            <w:r w:rsidR="005225FA">
              <w:t>.</w:t>
            </w:r>
            <w:r w:rsidRPr="00B33993">
              <w:t xml:space="preserve"> </w:t>
            </w:r>
          </w:p>
        </w:tc>
      </w:tr>
      <w:tr w:rsidR="001C1C94" w:rsidRPr="00B33993" w14:paraId="006F8451" w14:textId="77777777" w:rsidTr="00EE4074">
        <w:tc>
          <w:tcPr>
            <w:tcW w:w="2474" w:type="dxa"/>
          </w:tcPr>
          <w:p w14:paraId="4563FA7F" w14:textId="3017D2C3" w:rsidR="001C1C94" w:rsidRPr="00B33993" w:rsidRDefault="005225FA" w:rsidP="0023078B">
            <w:r>
              <w:t xml:space="preserve">Assess Your Advocacy </w:t>
            </w:r>
            <w:r w:rsidR="00CB3DFD">
              <w:t xml:space="preserve"> </w:t>
            </w:r>
            <w:r w:rsidR="00B52C2C">
              <w:t>Tool</w:t>
            </w:r>
          </w:p>
        </w:tc>
        <w:tc>
          <w:tcPr>
            <w:tcW w:w="6848" w:type="dxa"/>
          </w:tcPr>
          <w:p w14:paraId="278DA7EA" w14:textId="48DE0D0D" w:rsidR="001C1C94" w:rsidRPr="00B33993" w:rsidRDefault="001C1C94" w:rsidP="00452D28">
            <w:pPr>
              <w:autoSpaceDE w:val="0"/>
              <w:autoSpaceDN w:val="0"/>
              <w:adjustRightInd w:val="0"/>
            </w:pPr>
            <w:r w:rsidRPr="00B33993">
              <w:t xml:space="preserve">This </w:t>
            </w:r>
            <w:r w:rsidR="0023078B">
              <w:t xml:space="preserve">online </w:t>
            </w:r>
            <w:r w:rsidRPr="00B33993">
              <w:t xml:space="preserve">tool </w:t>
            </w:r>
            <w:r w:rsidR="008A1878">
              <w:t>(</w:t>
            </w:r>
            <w:r w:rsidR="004866E5">
              <w:t xml:space="preserve">developed </w:t>
            </w:r>
            <w:r w:rsidRPr="00B33993">
              <w:t>with</w:t>
            </w:r>
            <w:r w:rsidR="00452D28">
              <w:t xml:space="preserve"> the assistance of</w:t>
            </w:r>
            <w:r w:rsidRPr="00B33993">
              <w:t xml:space="preserve"> Bolder Advocacy, an initiative of the Alliance for Justice (AFJ) in the United States</w:t>
            </w:r>
            <w:r w:rsidR="008A1878">
              <w:t>) wa</w:t>
            </w:r>
            <w:r w:rsidRPr="00B33993">
              <w:t xml:space="preserve">s designed to help </w:t>
            </w:r>
            <w:r w:rsidR="00340D45">
              <w:t xml:space="preserve">support </w:t>
            </w:r>
            <w:r w:rsidRPr="00B33993">
              <w:t xml:space="preserve">community and voluntary sector organisations and coalitions </w:t>
            </w:r>
            <w:r w:rsidR="00340D45">
              <w:t xml:space="preserve">a) </w:t>
            </w:r>
            <w:r w:rsidRPr="00B33993">
              <w:t>meas</w:t>
            </w:r>
            <w:r w:rsidR="00340D45">
              <w:t xml:space="preserve">ure their advocacy capacity, </w:t>
            </w:r>
            <w:r w:rsidR="005225FA">
              <w:t xml:space="preserve">and </w:t>
            </w:r>
            <w:r w:rsidR="00340D45">
              <w:t xml:space="preserve">b) </w:t>
            </w:r>
            <w:r w:rsidRPr="00B33993">
              <w:t>identify activity area</w:t>
            </w:r>
            <w:r w:rsidR="00340D45">
              <w:t>s that need to be strengthened.</w:t>
            </w:r>
          </w:p>
        </w:tc>
      </w:tr>
      <w:tr w:rsidR="0023078B" w:rsidRPr="00B33993" w14:paraId="7CB6044E" w14:textId="77777777" w:rsidTr="00EE4074">
        <w:tc>
          <w:tcPr>
            <w:tcW w:w="2474" w:type="dxa"/>
          </w:tcPr>
          <w:p w14:paraId="5638B27C" w14:textId="5EF7B978" w:rsidR="0023078B" w:rsidRPr="00B33993" w:rsidRDefault="007C54C3" w:rsidP="001C1C94">
            <w:r>
              <w:t xml:space="preserve">Identification of </w:t>
            </w:r>
            <w:r w:rsidR="0023078B">
              <w:t>Indicators</w:t>
            </w:r>
            <w:r>
              <w:t xml:space="preserve"> for Social Justice Advocacy</w:t>
            </w:r>
          </w:p>
        </w:tc>
        <w:tc>
          <w:tcPr>
            <w:tcW w:w="6848" w:type="dxa"/>
          </w:tcPr>
          <w:p w14:paraId="58241E94" w14:textId="576BA186" w:rsidR="0023078B" w:rsidRPr="00B33993" w:rsidRDefault="005225FA" w:rsidP="00BD42A7">
            <w:pPr>
              <w:autoSpaceDE w:val="0"/>
              <w:autoSpaceDN w:val="0"/>
              <w:adjustRightInd w:val="0"/>
            </w:pPr>
            <w:r>
              <w:t xml:space="preserve">This tool sets out a framework to allow advocates and their organisation to identify their own indicators for effectiveness.  </w:t>
            </w:r>
            <w:r w:rsidR="007C54C3">
              <w:t>The purpose of these indicators is to support those doing social justice advocacy answer the question: How do we know our advocacy is working</w:t>
            </w:r>
            <w:r w:rsidR="00BD5C64">
              <w:t>?</w:t>
            </w:r>
            <w:r w:rsidR="007C54C3">
              <w:t xml:space="preserve"> The indicators were developed though focus group discussion with experienced social justice advocates </w:t>
            </w:r>
            <w:r w:rsidR="007C54C3" w:rsidRPr="007C54C3">
              <w:t>working across a broad range of areas and involved in reflecting on advocacy through their</w:t>
            </w:r>
            <w:r w:rsidR="00BD42A7">
              <w:t xml:space="preserve"> </w:t>
            </w:r>
            <w:r w:rsidR="007C54C3" w:rsidRPr="007C54C3">
              <w:t>participation in the Initiative</w:t>
            </w:r>
            <w:r w:rsidR="007C54C3">
              <w:t xml:space="preserve">. </w:t>
            </w:r>
          </w:p>
        </w:tc>
      </w:tr>
      <w:tr w:rsidR="001C1C94" w:rsidRPr="00B33993" w14:paraId="2F866CDB" w14:textId="77777777" w:rsidTr="00EE4074">
        <w:tc>
          <w:tcPr>
            <w:tcW w:w="2474" w:type="dxa"/>
          </w:tcPr>
          <w:p w14:paraId="5133D5C4" w14:textId="57AC1EB3" w:rsidR="001C1C94" w:rsidRPr="00B33993" w:rsidRDefault="006D6CE4" w:rsidP="001C1C94">
            <w:r>
              <w:t xml:space="preserve">Outputs from the various </w:t>
            </w:r>
            <w:r w:rsidR="001C1C94" w:rsidRPr="00B33993">
              <w:t xml:space="preserve">Knowledge Exchange </w:t>
            </w:r>
            <w:r w:rsidR="00421D6A">
              <w:t>For a</w:t>
            </w:r>
          </w:p>
        </w:tc>
        <w:tc>
          <w:tcPr>
            <w:tcW w:w="6848" w:type="dxa"/>
          </w:tcPr>
          <w:p w14:paraId="4C9C9ED7" w14:textId="02F95B37" w:rsidR="00AD031A" w:rsidRPr="00B33993" w:rsidRDefault="00952106" w:rsidP="001C1C94">
            <w:pPr>
              <w:autoSpaceDE w:val="0"/>
              <w:autoSpaceDN w:val="0"/>
              <w:adjustRightInd w:val="0"/>
            </w:pPr>
            <w:r>
              <w:t>Various r</w:t>
            </w:r>
            <w:r w:rsidR="001C1C94" w:rsidRPr="00B33993">
              <w:t>eports, presentations and videos</w:t>
            </w:r>
            <w:r w:rsidR="00AD031A">
              <w:t xml:space="preserve">. Following the inaugural meeting each Exchange Fora focused on a different topic. The topics covered included: </w:t>
            </w:r>
            <w:r w:rsidR="00BD5C64">
              <w:t>e</w:t>
            </w:r>
            <w:r w:rsidR="00AD031A" w:rsidRPr="00B33993">
              <w:t>-</w:t>
            </w:r>
            <w:r w:rsidR="00BD5C64">
              <w:t>a</w:t>
            </w:r>
            <w:r w:rsidR="00AD031A" w:rsidRPr="00B33993">
              <w:t xml:space="preserve">dvocacy and </w:t>
            </w:r>
            <w:r w:rsidR="00BD5C64">
              <w:t>s</w:t>
            </w:r>
            <w:r w:rsidR="00AD031A" w:rsidRPr="00B33993">
              <w:t xml:space="preserve">ocial </w:t>
            </w:r>
            <w:r w:rsidR="00BD5C64">
              <w:t>m</w:t>
            </w:r>
            <w:r w:rsidR="00AD031A" w:rsidRPr="00B33993">
              <w:t xml:space="preserve">edia </w:t>
            </w:r>
            <w:r w:rsidR="00BD5C64">
              <w:t>t</w:t>
            </w:r>
            <w:r w:rsidR="00AD031A" w:rsidRPr="00B33993">
              <w:t>ools</w:t>
            </w:r>
            <w:r w:rsidR="00AD031A">
              <w:t xml:space="preserve">; </w:t>
            </w:r>
            <w:r w:rsidR="00BD5C64">
              <w:t>g</w:t>
            </w:r>
            <w:r w:rsidR="00AD031A">
              <w:t xml:space="preserve">ood practices; </w:t>
            </w:r>
            <w:r w:rsidR="00BD5C64">
              <w:t>p</w:t>
            </w:r>
            <w:r w:rsidR="00AD031A">
              <w:t xml:space="preserve">articipation; </w:t>
            </w:r>
            <w:r w:rsidR="00BD5C64">
              <w:t>c</w:t>
            </w:r>
            <w:r w:rsidR="00AD031A">
              <w:t xml:space="preserve">ollaboration; and </w:t>
            </w:r>
            <w:r w:rsidR="00BD5C64">
              <w:t>c</w:t>
            </w:r>
            <w:r w:rsidR="00AD031A">
              <w:t xml:space="preserve">reative </w:t>
            </w:r>
            <w:r w:rsidR="00BD5C64">
              <w:t>a</w:t>
            </w:r>
            <w:r w:rsidR="00AD031A">
              <w:t xml:space="preserve">pproaches and tactics for </w:t>
            </w:r>
            <w:r w:rsidR="00BD5C64">
              <w:t>s</w:t>
            </w:r>
            <w:r w:rsidR="00AD031A">
              <w:t xml:space="preserve">ocial </w:t>
            </w:r>
            <w:r w:rsidR="00BD5C64">
              <w:t>j</w:t>
            </w:r>
            <w:r w:rsidR="00AD031A">
              <w:t xml:space="preserve">ustice </w:t>
            </w:r>
            <w:r w:rsidR="00BD5C64">
              <w:t>a</w:t>
            </w:r>
            <w:r w:rsidR="00AD031A">
              <w:t>dvocates</w:t>
            </w:r>
            <w:r w:rsidR="00BD5C64">
              <w:t>.</w:t>
            </w:r>
          </w:p>
        </w:tc>
      </w:tr>
      <w:tr w:rsidR="001C1C94" w:rsidRPr="00B33993" w14:paraId="59A216A8" w14:textId="77777777" w:rsidTr="00EE4074">
        <w:tc>
          <w:tcPr>
            <w:tcW w:w="2474" w:type="dxa"/>
          </w:tcPr>
          <w:p w14:paraId="530AE3BA" w14:textId="77777777" w:rsidR="001C1C94" w:rsidRPr="00B33993" w:rsidRDefault="001C1C94" w:rsidP="001C1C94">
            <w:r w:rsidRPr="00B33993">
              <w:t>Guest Blogs</w:t>
            </w:r>
          </w:p>
        </w:tc>
        <w:tc>
          <w:tcPr>
            <w:tcW w:w="6848" w:type="dxa"/>
          </w:tcPr>
          <w:p w14:paraId="1DDA4552" w14:textId="539137BD" w:rsidR="00952106" w:rsidRPr="00B33993" w:rsidRDefault="00221BE3" w:rsidP="00BF327E">
            <w:pPr>
              <w:autoSpaceDE w:val="0"/>
              <w:autoSpaceDN w:val="0"/>
              <w:adjustRightInd w:val="0"/>
            </w:pPr>
            <w:r w:rsidRPr="005B2339">
              <w:t>20</w:t>
            </w:r>
            <w:r w:rsidR="009A056D">
              <w:t xml:space="preserve"> g</w:t>
            </w:r>
            <w:r w:rsidR="0072469E">
              <w:t>uest b</w:t>
            </w:r>
            <w:r w:rsidR="00952106">
              <w:t>logs</w:t>
            </w:r>
            <w:r w:rsidR="00BF327E">
              <w:t xml:space="preserve"> from a variety of individuals from across a range of sectors </w:t>
            </w:r>
            <w:r w:rsidR="005225FA">
              <w:t xml:space="preserve">addressing themes relevant to the </w:t>
            </w:r>
            <w:r w:rsidR="00BF327E">
              <w:t xml:space="preserve">community and voluntary </w:t>
            </w:r>
            <w:r w:rsidR="005225FA">
              <w:t>sector and the</w:t>
            </w:r>
            <w:r w:rsidR="00BF327E">
              <w:t>ir social justice advocacy work in particular</w:t>
            </w:r>
            <w:r w:rsidR="00BD5C64">
              <w:t>.</w:t>
            </w:r>
          </w:p>
        </w:tc>
      </w:tr>
      <w:tr w:rsidR="001C1C94" w:rsidRPr="00B33993" w14:paraId="14EBB9A4" w14:textId="77777777" w:rsidTr="00EE4074">
        <w:tc>
          <w:tcPr>
            <w:tcW w:w="2474" w:type="dxa"/>
          </w:tcPr>
          <w:p w14:paraId="3A4C09E4" w14:textId="77777777" w:rsidR="001C1C94" w:rsidRPr="00B33993" w:rsidRDefault="001C1C94" w:rsidP="001C1C94">
            <w:r w:rsidRPr="00B33993">
              <w:t>The Advocacy Initiative Website</w:t>
            </w:r>
          </w:p>
        </w:tc>
        <w:tc>
          <w:tcPr>
            <w:tcW w:w="6848" w:type="dxa"/>
          </w:tcPr>
          <w:p w14:paraId="12244806" w14:textId="0B39B603" w:rsidR="001C1C94" w:rsidRPr="00B33993" w:rsidRDefault="00BF327E" w:rsidP="00BD5C64">
            <w:pPr>
              <w:autoSpaceDE w:val="0"/>
              <w:autoSpaceDN w:val="0"/>
              <w:adjustRightInd w:val="0"/>
            </w:pPr>
            <w:r>
              <w:t>Since its launch (</w:t>
            </w:r>
            <w:r w:rsidR="00A6493B">
              <w:t xml:space="preserve">June 2012 to </w:t>
            </w:r>
            <w:r w:rsidR="00A6493B" w:rsidRPr="005B2339">
              <w:t>Jan 2014</w:t>
            </w:r>
            <w:r>
              <w:t>)</w:t>
            </w:r>
            <w:r w:rsidR="00A6493B">
              <w:t xml:space="preserve"> the site had </w:t>
            </w:r>
            <w:r w:rsidR="00A059A7">
              <w:t xml:space="preserve">9781 </w:t>
            </w:r>
            <w:r w:rsidR="00A6493B">
              <w:t xml:space="preserve">unique visitors. </w:t>
            </w:r>
            <w:r w:rsidR="00875EED">
              <w:t>The majority (</w:t>
            </w:r>
            <w:r w:rsidR="00A6493B">
              <w:t>86%</w:t>
            </w:r>
            <w:r w:rsidR="00875EED">
              <w:t>)</w:t>
            </w:r>
            <w:r w:rsidR="00A6493B">
              <w:t xml:space="preserve"> were from the Republic of Ireland. </w:t>
            </w:r>
          </w:p>
        </w:tc>
      </w:tr>
      <w:tr w:rsidR="001C1C94" w:rsidRPr="00B33993" w14:paraId="0AA5BE30" w14:textId="77777777" w:rsidTr="00EE4074">
        <w:tc>
          <w:tcPr>
            <w:tcW w:w="2474" w:type="dxa"/>
          </w:tcPr>
          <w:p w14:paraId="323D898B" w14:textId="77777777" w:rsidR="001C1C94" w:rsidRPr="00B33993" w:rsidRDefault="006D6CE4" w:rsidP="001C1C94">
            <w:r>
              <w:t>Advocacy Posts (N</w:t>
            </w:r>
            <w:r w:rsidR="001C1C94" w:rsidRPr="00B33993">
              <w:t>ewsletter of the Advocacy Initiative</w:t>
            </w:r>
            <w:r>
              <w:t>)</w:t>
            </w:r>
          </w:p>
        </w:tc>
        <w:tc>
          <w:tcPr>
            <w:tcW w:w="6848" w:type="dxa"/>
          </w:tcPr>
          <w:p w14:paraId="7DD25F7A" w14:textId="30D8E251" w:rsidR="001C1C94" w:rsidRPr="00B33993" w:rsidRDefault="009A056D" w:rsidP="005225FA">
            <w:r>
              <w:t xml:space="preserve">Post are sent on a </w:t>
            </w:r>
            <w:r w:rsidR="001C1C94" w:rsidRPr="00B33993">
              <w:t xml:space="preserve">monthly </w:t>
            </w:r>
            <w:r>
              <w:t xml:space="preserve">basis </w:t>
            </w:r>
            <w:r w:rsidR="001C1C94" w:rsidRPr="00B33993">
              <w:t xml:space="preserve">to </w:t>
            </w:r>
            <w:r>
              <w:t xml:space="preserve">approx. </w:t>
            </w:r>
            <w:r w:rsidR="00875EED">
              <w:t xml:space="preserve">800 people. </w:t>
            </w:r>
            <w:r w:rsidR="001C1C94" w:rsidRPr="00B33993">
              <w:t>The</w:t>
            </w:r>
            <w:r>
              <w:t>se</w:t>
            </w:r>
            <w:r w:rsidR="001C1C94" w:rsidRPr="00B33993">
              <w:t xml:space="preserve"> posts drove traffic to the website and encouraged engagement with Advocacy Initiative research, news and events.  </w:t>
            </w:r>
          </w:p>
        </w:tc>
      </w:tr>
    </w:tbl>
    <w:p w14:paraId="137DFC73" w14:textId="77777777" w:rsidR="001C1C94" w:rsidRDefault="001C1C94" w:rsidP="001C1C94">
      <w:pPr>
        <w:spacing w:line="240" w:lineRule="auto"/>
      </w:pPr>
    </w:p>
    <w:tbl>
      <w:tblPr>
        <w:tblStyle w:val="TableGrid"/>
        <w:tblW w:w="9322" w:type="dxa"/>
        <w:tblLook w:val="04A0" w:firstRow="1" w:lastRow="0" w:firstColumn="1" w:lastColumn="0" w:noHBand="0" w:noVBand="1"/>
      </w:tblPr>
      <w:tblGrid>
        <w:gridCol w:w="2235"/>
        <w:gridCol w:w="4394"/>
        <w:gridCol w:w="2693"/>
      </w:tblGrid>
      <w:tr w:rsidR="001C1C94" w:rsidRPr="00B33993" w14:paraId="04EA1A16" w14:textId="77777777" w:rsidTr="00721430">
        <w:tc>
          <w:tcPr>
            <w:tcW w:w="9322" w:type="dxa"/>
            <w:gridSpan w:val="3"/>
            <w:shd w:val="clear" w:color="auto" w:fill="CCC0D9" w:themeFill="accent4" w:themeFillTint="66"/>
          </w:tcPr>
          <w:p w14:paraId="31C8F19E" w14:textId="5D308456" w:rsidR="001C1C94" w:rsidRPr="00B33993" w:rsidRDefault="001C1C94" w:rsidP="0056120D">
            <w:pPr>
              <w:pStyle w:val="Heading4"/>
              <w:outlineLvl w:val="3"/>
            </w:pPr>
            <w:r w:rsidRPr="00B33993">
              <w:t xml:space="preserve">Table 2.3 Events </w:t>
            </w:r>
          </w:p>
        </w:tc>
      </w:tr>
      <w:tr w:rsidR="001C1C94" w:rsidRPr="00B33993" w14:paraId="34B4FE48" w14:textId="77777777" w:rsidTr="00721430">
        <w:tc>
          <w:tcPr>
            <w:tcW w:w="2235" w:type="dxa"/>
            <w:shd w:val="clear" w:color="auto" w:fill="CCC0D9" w:themeFill="accent4" w:themeFillTint="66"/>
          </w:tcPr>
          <w:p w14:paraId="23F76FBF" w14:textId="77777777" w:rsidR="001C1C94" w:rsidRPr="00B33993" w:rsidRDefault="001C1C94" w:rsidP="001C1C94">
            <w:pPr>
              <w:rPr>
                <w:i/>
              </w:rPr>
            </w:pPr>
            <w:r w:rsidRPr="00B33993">
              <w:rPr>
                <w:i/>
              </w:rPr>
              <w:t>Event Type</w:t>
            </w:r>
            <w:r w:rsidR="0076454D">
              <w:rPr>
                <w:i/>
              </w:rPr>
              <w:t xml:space="preserve"> &amp; Numbers</w:t>
            </w:r>
          </w:p>
        </w:tc>
        <w:tc>
          <w:tcPr>
            <w:tcW w:w="4394" w:type="dxa"/>
            <w:shd w:val="clear" w:color="auto" w:fill="CCC0D9" w:themeFill="accent4" w:themeFillTint="66"/>
          </w:tcPr>
          <w:p w14:paraId="6686BD3D" w14:textId="77777777" w:rsidR="001C1C94" w:rsidRPr="00B33993" w:rsidRDefault="001C1C94" w:rsidP="001C1C94">
            <w:pPr>
              <w:rPr>
                <w:i/>
              </w:rPr>
            </w:pPr>
            <w:r w:rsidRPr="00B33993">
              <w:rPr>
                <w:i/>
              </w:rPr>
              <w:t xml:space="preserve">Event Description </w:t>
            </w:r>
          </w:p>
        </w:tc>
        <w:tc>
          <w:tcPr>
            <w:tcW w:w="2693" w:type="dxa"/>
            <w:shd w:val="clear" w:color="auto" w:fill="CCC0D9" w:themeFill="accent4" w:themeFillTint="66"/>
          </w:tcPr>
          <w:p w14:paraId="5A16B89B" w14:textId="77777777" w:rsidR="001C1C94" w:rsidRPr="00B33993" w:rsidRDefault="00E33647" w:rsidP="00E71C9C">
            <w:pPr>
              <w:rPr>
                <w:i/>
              </w:rPr>
            </w:pPr>
            <w:r w:rsidRPr="00B33993">
              <w:rPr>
                <w:i/>
              </w:rPr>
              <w:t>Number</w:t>
            </w:r>
            <w:r w:rsidR="001C1C94" w:rsidRPr="00B33993">
              <w:rPr>
                <w:i/>
              </w:rPr>
              <w:t xml:space="preserve"> </w:t>
            </w:r>
            <w:r w:rsidR="00E71C9C" w:rsidRPr="00B33993">
              <w:rPr>
                <w:i/>
              </w:rPr>
              <w:t>Registered</w:t>
            </w:r>
          </w:p>
        </w:tc>
      </w:tr>
      <w:tr w:rsidR="001C1C94" w:rsidRPr="00B33993" w14:paraId="1ECB7B49" w14:textId="77777777" w:rsidTr="00721430">
        <w:tc>
          <w:tcPr>
            <w:tcW w:w="2235" w:type="dxa"/>
            <w:vMerge w:val="restart"/>
          </w:tcPr>
          <w:p w14:paraId="1E8BE02F" w14:textId="77777777" w:rsidR="001C1C94" w:rsidRPr="00B33993" w:rsidRDefault="001C1C94" w:rsidP="001C1C94">
            <w:r w:rsidRPr="00B33993">
              <w:t>Report Launches</w:t>
            </w:r>
            <w:r w:rsidR="0076454D">
              <w:t xml:space="preserve"> (3)</w:t>
            </w:r>
          </w:p>
        </w:tc>
        <w:tc>
          <w:tcPr>
            <w:tcW w:w="4394" w:type="dxa"/>
          </w:tcPr>
          <w:p w14:paraId="77241E3F" w14:textId="77777777" w:rsidR="001C1C94" w:rsidRPr="00B33993" w:rsidRDefault="001C1C94" w:rsidP="001C1C94">
            <w:r w:rsidRPr="00B33993">
              <w:t xml:space="preserve">Funding Dissent Study </w:t>
            </w:r>
            <w:r w:rsidR="00E33647">
              <w:t>(Part 1)</w:t>
            </w:r>
          </w:p>
          <w:p w14:paraId="3FA9596A" w14:textId="77777777" w:rsidR="001C1C94" w:rsidRPr="00B33993" w:rsidRDefault="001C1C94" w:rsidP="001C1C94">
            <w:r w:rsidRPr="00B33993">
              <w:t>(Feb 2013)</w:t>
            </w:r>
          </w:p>
        </w:tc>
        <w:tc>
          <w:tcPr>
            <w:tcW w:w="2693" w:type="dxa"/>
          </w:tcPr>
          <w:p w14:paraId="5ED7FB2B" w14:textId="77777777" w:rsidR="001C1C94" w:rsidRPr="00B33993" w:rsidRDefault="001C1C94" w:rsidP="001C1C94">
            <w:r w:rsidRPr="00B33993">
              <w:t>50</w:t>
            </w:r>
          </w:p>
        </w:tc>
      </w:tr>
      <w:tr w:rsidR="001C1C94" w:rsidRPr="00B33993" w14:paraId="1C43DC38" w14:textId="77777777" w:rsidTr="00721430">
        <w:tc>
          <w:tcPr>
            <w:tcW w:w="2235" w:type="dxa"/>
            <w:vMerge/>
          </w:tcPr>
          <w:p w14:paraId="7F45711D" w14:textId="77777777" w:rsidR="001C1C94" w:rsidRPr="00B33993" w:rsidRDefault="001C1C94" w:rsidP="001C1C94"/>
        </w:tc>
        <w:tc>
          <w:tcPr>
            <w:tcW w:w="4394" w:type="dxa"/>
          </w:tcPr>
          <w:p w14:paraId="26115E52" w14:textId="77777777" w:rsidR="001C1C94" w:rsidRPr="00B33993" w:rsidRDefault="001C1C94" w:rsidP="001C1C94">
            <w:r w:rsidRPr="00B33993">
              <w:t xml:space="preserve">In Other Words Study </w:t>
            </w:r>
          </w:p>
          <w:p w14:paraId="035C4224" w14:textId="77777777" w:rsidR="001C1C94" w:rsidRPr="00B33993" w:rsidRDefault="001C1C94" w:rsidP="001C1C94">
            <w:r w:rsidRPr="00B33993">
              <w:t>(June 2013)</w:t>
            </w:r>
          </w:p>
        </w:tc>
        <w:tc>
          <w:tcPr>
            <w:tcW w:w="2693" w:type="dxa"/>
          </w:tcPr>
          <w:p w14:paraId="05620419" w14:textId="77777777" w:rsidR="001C1C94" w:rsidRPr="00B33993" w:rsidRDefault="001C1C94" w:rsidP="001C1C94">
            <w:r w:rsidRPr="00B33993">
              <w:t>65</w:t>
            </w:r>
          </w:p>
        </w:tc>
      </w:tr>
      <w:tr w:rsidR="001C1C94" w:rsidRPr="00B33993" w14:paraId="50E1C431" w14:textId="77777777" w:rsidTr="00721430">
        <w:trPr>
          <w:trHeight w:val="547"/>
        </w:trPr>
        <w:tc>
          <w:tcPr>
            <w:tcW w:w="2235" w:type="dxa"/>
            <w:vMerge/>
          </w:tcPr>
          <w:p w14:paraId="72641F77" w14:textId="77777777" w:rsidR="001C1C94" w:rsidRPr="00B33993" w:rsidRDefault="001C1C94" w:rsidP="001C1C94"/>
        </w:tc>
        <w:tc>
          <w:tcPr>
            <w:tcW w:w="4394" w:type="dxa"/>
          </w:tcPr>
          <w:p w14:paraId="0618113E" w14:textId="77777777" w:rsidR="001C1C94" w:rsidRPr="00B33993" w:rsidRDefault="001C1C94" w:rsidP="001C1C94">
            <w:r w:rsidRPr="00B33993">
              <w:t>Are we paying for that?</w:t>
            </w:r>
            <w:r w:rsidR="00E33647">
              <w:t xml:space="preserve"> (Funding Study Part II)</w:t>
            </w:r>
          </w:p>
          <w:p w14:paraId="645A387C" w14:textId="77777777" w:rsidR="001C1C94" w:rsidRPr="00B33993" w:rsidRDefault="001C1C94" w:rsidP="001C1C94">
            <w:r w:rsidRPr="00B33993">
              <w:t>(Jan 2014)</w:t>
            </w:r>
          </w:p>
        </w:tc>
        <w:tc>
          <w:tcPr>
            <w:tcW w:w="2693" w:type="dxa"/>
          </w:tcPr>
          <w:p w14:paraId="7435D964" w14:textId="77777777" w:rsidR="001C1C94" w:rsidRPr="00B33993" w:rsidRDefault="001C1C94" w:rsidP="001C1C94">
            <w:r w:rsidRPr="00B33993">
              <w:t>115</w:t>
            </w:r>
          </w:p>
        </w:tc>
      </w:tr>
      <w:tr w:rsidR="001C1C94" w:rsidRPr="00B33993" w14:paraId="3869091B" w14:textId="77777777" w:rsidTr="00721430">
        <w:trPr>
          <w:trHeight w:val="547"/>
        </w:trPr>
        <w:tc>
          <w:tcPr>
            <w:tcW w:w="2235" w:type="dxa"/>
            <w:vMerge w:val="restart"/>
          </w:tcPr>
          <w:p w14:paraId="0030772D" w14:textId="77777777" w:rsidR="001C1C94" w:rsidRPr="00B33993" w:rsidRDefault="001C1C94" w:rsidP="001C1C94">
            <w:r w:rsidRPr="00B33993">
              <w:t xml:space="preserve">Briefings </w:t>
            </w:r>
            <w:r w:rsidR="0076454D">
              <w:t>(3)</w:t>
            </w:r>
          </w:p>
        </w:tc>
        <w:tc>
          <w:tcPr>
            <w:tcW w:w="4394" w:type="dxa"/>
          </w:tcPr>
          <w:p w14:paraId="5E58B7FC" w14:textId="77777777" w:rsidR="001C1C94" w:rsidRPr="00B33993" w:rsidRDefault="001C1C94" w:rsidP="001C1C94">
            <w:r w:rsidRPr="00B33993">
              <w:t xml:space="preserve">Public Opinion Poll 1 </w:t>
            </w:r>
          </w:p>
          <w:p w14:paraId="0C97390F" w14:textId="77777777" w:rsidR="001C1C94" w:rsidRPr="00B33993" w:rsidRDefault="001C1C94" w:rsidP="001C1C94">
            <w:r w:rsidRPr="00B33993">
              <w:t>(Feb 2013)</w:t>
            </w:r>
          </w:p>
        </w:tc>
        <w:tc>
          <w:tcPr>
            <w:tcW w:w="2693" w:type="dxa"/>
          </w:tcPr>
          <w:p w14:paraId="2074B5A4" w14:textId="77777777" w:rsidR="001C1C94" w:rsidRPr="00B33993" w:rsidRDefault="001C1C94" w:rsidP="001C1C94">
            <w:r w:rsidRPr="00B33993">
              <w:t>40</w:t>
            </w:r>
          </w:p>
        </w:tc>
      </w:tr>
      <w:tr w:rsidR="001C1C94" w:rsidRPr="00B33993" w14:paraId="35A41A79" w14:textId="77777777" w:rsidTr="00721430">
        <w:trPr>
          <w:trHeight w:val="547"/>
        </w:trPr>
        <w:tc>
          <w:tcPr>
            <w:tcW w:w="2235" w:type="dxa"/>
            <w:vMerge/>
          </w:tcPr>
          <w:p w14:paraId="308F10F3" w14:textId="77777777" w:rsidR="001C1C94" w:rsidRPr="00B33993" w:rsidRDefault="001C1C94" w:rsidP="001C1C94"/>
        </w:tc>
        <w:tc>
          <w:tcPr>
            <w:tcW w:w="4394" w:type="dxa"/>
          </w:tcPr>
          <w:p w14:paraId="7B8A0055" w14:textId="77777777" w:rsidR="001C1C94" w:rsidRPr="00B33993" w:rsidRDefault="001C1C94" w:rsidP="001C1C94">
            <w:r w:rsidRPr="00B33993">
              <w:t xml:space="preserve">Public Opinion Poll 2 </w:t>
            </w:r>
          </w:p>
          <w:p w14:paraId="783BB6B6" w14:textId="77777777" w:rsidR="001C1C94" w:rsidRPr="00B33993" w:rsidRDefault="001C1C94" w:rsidP="001C1C94">
            <w:r w:rsidRPr="00B33993">
              <w:t>(June 2013)</w:t>
            </w:r>
          </w:p>
        </w:tc>
        <w:tc>
          <w:tcPr>
            <w:tcW w:w="2693" w:type="dxa"/>
          </w:tcPr>
          <w:p w14:paraId="25DD4B72" w14:textId="77777777" w:rsidR="001C1C94" w:rsidRPr="00B33993" w:rsidRDefault="001C1C94" w:rsidP="001C1C94">
            <w:r w:rsidRPr="00B33993">
              <w:t>9</w:t>
            </w:r>
          </w:p>
        </w:tc>
      </w:tr>
      <w:tr w:rsidR="001C1C94" w:rsidRPr="00B33993" w14:paraId="4E51EDC5" w14:textId="77777777" w:rsidTr="00721430">
        <w:trPr>
          <w:trHeight w:val="547"/>
        </w:trPr>
        <w:tc>
          <w:tcPr>
            <w:tcW w:w="2235" w:type="dxa"/>
            <w:vMerge/>
          </w:tcPr>
          <w:p w14:paraId="7398676D" w14:textId="77777777" w:rsidR="001C1C94" w:rsidRPr="00B33993" w:rsidRDefault="001C1C94" w:rsidP="001C1C94"/>
        </w:tc>
        <w:tc>
          <w:tcPr>
            <w:tcW w:w="4394" w:type="dxa"/>
          </w:tcPr>
          <w:p w14:paraId="38C4A7C6" w14:textId="77777777" w:rsidR="001C1C94" w:rsidRPr="00B33993" w:rsidRDefault="001C1C94" w:rsidP="001C1C94">
            <w:r w:rsidRPr="00B33993">
              <w:t>The Regulatory Environment</w:t>
            </w:r>
          </w:p>
          <w:p w14:paraId="6B653569" w14:textId="77777777" w:rsidR="001C1C94" w:rsidRPr="00B33993" w:rsidRDefault="001C1C94" w:rsidP="001C1C94">
            <w:r w:rsidRPr="00B33993">
              <w:t>(Dec 2013)</w:t>
            </w:r>
          </w:p>
        </w:tc>
        <w:tc>
          <w:tcPr>
            <w:tcW w:w="2693" w:type="dxa"/>
          </w:tcPr>
          <w:p w14:paraId="24BEFF39" w14:textId="77777777" w:rsidR="001C1C94" w:rsidRPr="00B33993" w:rsidRDefault="001C1C94" w:rsidP="001C1C94">
            <w:r w:rsidRPr="00B33993">
              <w:t>22</w:t>
            </w:r>
          </w:p>
        </w:tc>
      </w:tr>
      <w:tr w:rsidR="00E71C9C" w:rsidRPr="00B33993" w14:paraId="01B46510" w14:textId="77777777" w:rsidTr="00721430">
        <w:tc>
          <w:tcPr>
            <w:tcW w:w="2235" w:type="dxa"/>
            <w:vMerge w:val="restart"/>
          </w:tcPr>
          <w:p w14:paraId="63DCD931" w14:textId="3D7AA0A9" w:rsidR="00E71C9C" w:rsidRDefault="00E71C9C" w:rsidP="001C1C94">
            <w:r w:rsidRPr="00B33993">
              <w:t xml:space="preserve">Knowledge Exchange </w:t>
            </w:r>
            <w:r w:rsidR="0076454D">
              <w:t>For</w:t>
            </w:r>
            <w:r w:rsidR="00B52C2C">
              <w:t>a</w:t>
            </w:r>
            <w:r w:rsidR="0076454D">
              <w:t xml:space="preserve"> (6 </w:t>
            </w:r>
            <w:r w:rsidR="00B52C2C">
              <w:t xml:space="preserve">&amp; </w:t>
            </w:r>
            <w:r w:rsidR="0076454D">
              <w:t xml:space="preserve">a </w:t>
            </w:r>
            <w:r w:rsidR="00B52C2C">
              <w:t>F</w:t>
            </w:r>
            <w:r w:rsidR="0076454D">
              <w:t>inal Conference)</w:t>
            </w:r>
          </w:p>
          <w:p w14:paraId="381B8405" w14:textId="77777777" w:rsidR="005225FA" w:rsidRPr="00B33993" w:rsidRDefault="005225FA" w:rsidP="001C1C94"/>
        </w:tc>
        <w:tc>
          <w:tcPr>
            <w:tcW w:w="4394" w:type="dxa"/>
          </w:tcPr>
          <w:p w14:paraId="12A48B69" w14:textId="77777777" w:rsidR="00E71C9C" w:rsidRPr="00B33993" w:rsidRDefault="00E71C9C" w:rsidP="001C1C94">
            <w:r w:rsidRPr="00B33993">
              <w:t>Inaugural Knowledge Exchange Forum (Feb 2012)</w:t>
            </w:r>
          </w:p>
        </w:tc>
        <w:tc>
          <w:tcPr>
            <w:tcW w:w="2693" w:type="dxa"/>
          </w:tcPr>
          <w:p w14:paraId="4D84FB95" w14:textId="77777777" w:rsidR="00E71C9C" w:rsidRPr="00B33993" w:rsidRDefault="00E71C9C" w:rsidP="001C1C94">
            <w:r w:rsidRPr="00B33993">
              <w:t>113</w:t>
            </w:r>
          </w:p>
        </w:tc>
      </w:tr>
      <w:tr w:rsidR="00E71C9C" w:rsidRPr="00B33993" w14:paraId="4F23E82C" w14:textId="77777777" w:rsidTr="00721430">
        <w:tc>
          <w:tcPr>
            <w:tcW w:w="2235" w:type="dxa"/>
            <w:vMerge/>
          </w:tcPr>
          <w:p w14:paraId="0095D9CD" w14:textId="77777777" w:rsidR="00E71C9C" w:rsidRPr="00B33993" w:rsidRDefault="00E71C9C" w:rsidP="001C1C94"/>
        </w:tc>
        <w:tc>
          <w:tcPr>
            <w:tcW w:w="4394" w:type="dxa"/>
          </w:tcPr>
          <w:p w14:paraId="0FD14FCA" w14:textId="77777777" w:rsidR="00E71C9C" w:rsidRPr="00B33993" w:rsidRDefault="00E71C9C" w:rsidP="001C1C94">
            <w:r w:rsidRPr="00B33993">
              <w:t>2</w:t>
            </w:r>
            <w:r w:rsidRPr="00B33993">
              <w:rPr>
                <w:vertAlign w:val="superscript"/>
              </w:rPr>
              <w:t>nd</w:t>
            </w:r>
            <w:r w:rsidRPr="00B33993">
              <w:t xml:space="preserve"> Knowledge Exchange Forum</w:t>
            </w:r>
          </w:p>
          <w:p w14:paraId="6BEEB956" w14:textId="77777777" w:rsidR="00E71C9C" w:rsidRPr="00B33993" w:rsidRDefault="00E71C9C" w:rsidP="001C1C94">
            <w:r w:rsidRPr="00B33993">
              <w:t>(July 2012)- Focus on E-Advocacy and Key Social Media Tools</w:t>
            </w:r>
          </w:p>
        </w:tc>
        <w:tc>
          <w:tcPr>
            <w:tcW w:w="2693" w:type="dxa"/>
          </w:tcPr>
          <w:p w14:paraId="404917D4" w14:textId="77777777" w:rsidR="00E71C9C" w:rsidRPr="00B33993" w:rsidRDefault="00E71C9C" w:rsidP="001C1C94">
            <w:r w:rsidRPr="00B33993">
              <w:t>101</w:t>
            </w:r>
          </w:p>
        </w:tc>
      </w:tr>
      <w:tr w:rsidR="00E71C9C" w:rsidRPr="00B33993" w14:paraId="3CBB6AD5" w14:textId="77777777" w:rsidTr="00721430">
        <w:tc>
          <w:tcPr>
            <w:tcW w:w="2235" w:type="dxa"/>
            <w:vMerge/>
          </w:tcPr>
          <w:p w14:paraId="2F8EB6C1" w14:textId="77777777" w:rsidR="00E71C9C" w:rsidRPr="00B33993" w:rsidRDefault="00E71C9C" w:rsidP="001C1C94"/>
        </w:tc>
        <w:tc>
          <w:tcPr>
            <w:tcW w:w="4394" w:type="dxa"/>
          </w:tcPr>
          <w:p w14:paraId="1105CAA1" w14:textId="77777777" w:rsidR="00E71C9C" w:rsidRPr="00B33993" w:rsidRDefault="00E71C9C" w:rsidP="001C1C94">
            <w:r w:rsidRPr="00B33993">
              <w:t>3</w:t>
            </w:r>
            <w:r w:rsidRPr="00B33993">
              <w:rPr>
                <w:vertAlign w:val="superscript"/>
              </w:rPr>
              <w:t>rd</w:t>
            </w:r>
            <w:r w:rsidRPr="00B33993">
              <w:t xml:space="preserve"> Knowledge Exchange Forum</w:t>
            </w:r>
          </w:p>
          <w:p w14:paraId="263B4507" w14:textId="247250D5" w:rsidR="00E71C9C" w:rsidRPr="00B33993" w:rsidRDefault="00E71C9C" w:rsidP="001C1C94">
            <w:r w:rsidRPr="00B33993">
              <w:t>(Dec 2012)</w:t>
            </w:r>
            <w:r w:rsidR="005225FA">
              <w:t xml:space="preserve"> – </w:t>
            </w:r>
            <w:r w:rsidR="00B52C2C">
              <w:t>G</w:t>
            </w:r>
            <w:r w:rsidR="005225FA">
              <w:t>ood practice case studies</w:t>
            </w:r>
          </w:p>
        </w:tc>
        <w:tc>
          <w:tcPr>
            <w:tcW w:w="2693" w:type="dxa"/>
          </w:tcPr>
          <w:p w14:paraId="4AD3DC68" w14:textId="77777777" w:rsidR="00E71C9C" w:rsidRPr="00B33993" w:rsidRDefault="00E71C9C" w:rsidP="001C1C94">
            <w:r w:rsidRPr="00B33993">
              <w:t>104</w:t>
            </w:r>
          </w:p>
        </w:tc>
      </w:tr>
      <w:tr w:rsidR="00E71C9C" w:rsidRPr="00B33993" w14:paraId="3C41995D" w14:textId="77777777" w:rsidTr="00721430">
        <w:tc>
          <w:tcPr>
            <w:tcW w:w="2235" w:type="dxa"/>
            <w:vMerge/>
          </w:tcPr>
          <w:p w14:paraId="7CFE3A2D" w14:textId="77777777" w:rsidR="00E71C9C" w:rsidRPr="00B33993" w:rsidRDefault="00E71C9C" w:rsidP="001C1C94"/>
        </w:tc>
        <w:tc>
          <w:tcPr>
            <w:tcW w:w="4394" w:type="dxa"/>
          </w:tcPr>
          <w:p w14:paraId="400AD785" w14:textId="77777777" w:rsidR="00E71C9C" w:rsidRPr="00B33993" w:rsidRDefault="00E71C9C" w:rsidP="001C1C94">
            <w:r w:rsidRPr="00B33993">
              <w:t>4</w:t>
            </w:r>
            <w:r w:rsidRPr="00B33993">
              <w:rPr>
                <w:vertAlign w:val="superscript"/>
              </w:rPr>
              <w:t>th</w:t>
            </w:r>
            <w:r w:rsidRPr="00B33993">
              <w:t xml:space="preserve"> Knowledge Exchange Forum</w:t>
            </w:r>
          </w:p>
          <w:p w14:paraId="7AFAD6DD" w14:textId="5093C243" w:rsidR="00E71C9C" w:rsidRPr="00B33993" w:rsidRDefault="00E71C9C" w:rsidP="001C1C94">
            <w:r w:rsidRPr="00B33993">
              <w:t>(July 2013)</w:t>
            </w:r>
            <w:r w:rsidR="005225FA">
              <w:t xml:space="preserve"> - </w:t>
            </w:r>
            <w:r w:rsidR="00B52C2C">
              <w:t>P</w:t>
            </w:r>
            <w:r w:rsidR="005225FA">
              <w:t>articipation</w:t>
            </w:r>
          </w:p>
        </w:tc>
        <w:tc>
          <w:tcPr>
            <w:tcW w:w="2693" w:type="dxa"/>
          </w:tcPr>
          <w:p w14:paraId="0411DC6B" w14:textId="77777777" w:rsidR="00E71C9C" w:rsidRPr="00B33993" w:rsidRDefault="00E71C9C" w:rsidP="001C1C94">
            <w:r w:rsidRPr="00B33993">
              <w:t>86</w:t>
            </w:r>
          </w:p>
        </w:tc>
      </w:tr>
      <w:tr w:rsidR="00E71C9C" w:rsidRPr="00B33993" w14:paraId="535FE61C" w14:textId="77777777" w:rsidTr="00721430">
        <w:tc>
          <w:tcPr>
            <w:tcW w:w="2235" w:type="dxa"/>
            <w:vMerge/>
          </w:tcPr>
          <w:p w14:paraId="3BA549DF" w14:textId="77777777" w:rsidR="00E71C9C" w:rsidRPr="00B33993" w:rsidRDefault="00E71C9C" w:rsidP="001C1C94"/>
        </w:tc>
        <w:tc>
          <w:tcPr>
            <w:tcW w:w="4394" w:type="dxa"/>
          </w:tcPr>
          <w:p w14:paraId="4F0FB59F" w14:textId="77777777" w:rsidR="00E71C9C" w:rsidRPr="00B33993" w:rsidRDefault="00E71C9C" w:rsidP="001C1C94">
            <w:r w:rsidRPr="00B33993">
              <w:t>5th Knowledge Exchange Forum</w:t>
            </w:r>
          </w:p>
          <w:p w14:paraId="28B764C9" w14:textId="4F9057BC" w:rsidR="00E71C9C" w:rsidRPr="00B33993" w:rsidRDefault="00E71C9C" w:rsidP="001C1C94">
            <w:r w:rsidRPr="00B33993">
              <w:t>(Nov 2013)</w:t>
            </w:r>
            <w:r w:rsidR="005225FA">
              <w:t xml:space="preserve"> - </w:t>
            </w:r>
            <w:r w:rsidR="00B52C2C">
              <w:t>C</w:t>
            </w:r>
            <w:r w:rsidR="005225FA">
              <w:t>ollaboration</w:t>
            </w:r>
          </w:p>
        </w:tc>
        <w:tc>
          <w:tcPr>
            <w:tcW w:w="2693" w:type="dxa"/>
          </w:tcPr>
          <w:p w14:paraId="1EA24C90" w14:textId="77777777" w:rsidR="00E71C9C" w:rsidRPr="00B33993" w:rsidRDefault="00E71C9C" w:rsidP="001C1C94">
            <w:r w:rsidRPr="00B33993">
              <w:t>95</w:t>
            </w:r>
          </w:p>
        </w:tc>
      </w:tr>
      <w:tr w:rsidR="00E71C9C" w:rsidRPr="00B33993" w14:paraId="5A184943" w14:textId="77777777" w:rsidTr="00721430">
        <w:tc>
          <w:tcPr>
            <w:tcW w:w="2235" w:type="dxa"/>
            <w:vMerge/>
          </w:tcPr>
          <w:p w14:paraId="210BAA0C" w14:textId="77777777" w:rsidR="00E71C9C" w:rsidRPr="00B33993" w:rsidRDefault="00E71C9C" w:rsidP="001C1C94"/>
        </w:tc>
        <w:tc>
          <w:tcPr>
            <w:tcW w:w="4394" w:type="dxa"/>
          </w:tcPr>
          <w:p w14:paraId="57875B16" w14:textId="77777777" w:rsidR="00E71C9C" w:rsidRPr="00B33993" w:rsidRDefault="00E71C9C" w:rsidP="001C1C94">
            <w:r w:rsidRPr="00B33993">
              <w:t>6th Knowledge Exchange Forum</w:t>
            </w:r>
          </w:p>
          <w:p w14:paraId="7EBE34D4" w14:textId="77777777" w:rsidR="00E71C9C" w:rsidRPr="00B33993" w:rsidRDefault="00E71C9C" w:rsidP="001C1C94">
            <w:r w:rsidRPr="00B33993">
              <w:t>(May 2014)</w:t>
            </w:r>
            <w:r w:rsidR="00E9100A">
              <w:t>- Creative Approaches and tactics for Social justice advocates</w:t>
            </w:r>
          </w:p>
        </w:tc>
        <w:tc>
          <w:tcPr>
            <w:tcW w:w="2693" w:type="dxa"/>
          </w:tcPr>
          <w:p w14:paraId="61FDA10D" w14:textId="6F82A781" w:rsidR="00E71C9C" w:rsidRPr="00E9100A" w:rsidRDefault="00B52C2C" w:rsidP="001C1C94">
            <w:pPr>
              <w:rPr>
                <w:highlight w:val="yellow"/>
              </w:rPr>
            </w:pPr>
            <w:r>
              <w:rPr>
                <w:rFonts w:cs="Calibri"/>
                <w:color w:val="000000"/>
              </w:rPr>
              <w:t xml:space="preserve"> 143</w:t>
            </w:r>
          </w:p>
        </w:tc>
      </w:tr>
      <w:tr w:rsidR="00E71C9C" w:rsidRPr="00B33993" w14:paraId="786E0D73" w14:textId="77777777" w:rsidTr="00721430">
        <w:tc>
          <w:tcPr>
            <w:tcW w:w="2235" w:type="dxa"/>
            <w:vMerge/>
          </w:tcPr>
          <w:p w14:paraId="70BF6B80" w14:textId="77777777" w:rsidR="00E71C9C" w:rsidRPr="00B33993" w:rsidRDefault="00E71C9C" w:rsidP="001C1C94"/>
        </w:tc>
        <w:tc>
          <w:tcPr>
            <w:tcW w:w="4394" w:type="dxa"/>
          </w:tcPr>
          <w:p w14:paraId="7A8BF75F" w14:textId="77777777" w:rsidR="00E71C9C" w:rsidRPr="00B33993" w:rsidRDefault="00E71C9C" w:rsidP="001C1C94">
            <w:r w:rsidRPr="00B33993">
              <w:t xml:space="preserve">Final Conference </w:t>
            </w:r>
          </w:p>
          <w:p w14:paraId="669DEAAD" w14:textId="77777777" w:rsidR="00E71C9C" w:rsidRPr="00B33993" w:rsidRDefault="00E71C9C" w:rsidP="001C1C94">
            <w:r w:rsidRPr="00B33993">
              <w:t>(July 2014)</w:t>
            </w:r>
          </w:p>
        </w:tc>
        <w:tc>
          <w:tcPr>
            <w:tcW w:w="2693" w:type="dxa"/>
          </w:tcPr>
          <w:p w14:paraId="5340CFBB" w14:textId="2DFB8A0D" w:rsidR="00E71C9C" w:rsidRPr="00B33993" w:rsidRDefault="009B75D0" w:rsidP="001C1C94">
            <w:r>
              <w:rPr>
                <w:rFonts w:cs="Calibri"/>
                <w:color w:val="000000"/>
              </w:rPr>
              <w:t>177</w:t>
            </w:r>
          </w:p>
        </w:tc>
      </w:tr>
      <w:tr w:rsidR="001C1C94" w:rsidRPr="00B33993" w14:paraId="1F29FB31" w14:textId="77777777" w:rsidTr="00721430">
        <w:tc>
          <w:tcPr>
            <w:tcW w:w="2235" w:type="dxa"/>
            <w:vMerge w:val="restart"/>
          </w:tcPr>
          <w:p w14:paraId="2A8518C6" w14:textId="77777777" w:rsidR="001C1C94" w:rsidRDefault="0076454D" w:rsidP="001C1C94">
            <w:r>
              <w:t>Local e</w:t>
            </w:r>
            <w:r w:rsidR="001C1C94" w:rsidRPr="00B33993">
              <w:t>vents</w:t>
            </w:r>
            <w:r>
              <w:t xml:space="preserve"> (11)</w:t>
            </w:r>
          </w:p>
          <w:p w14:paraId="3106F0C9" w14:textId="1E62B89A" w:rsidR="005225FA" w:rsidRPr="00B33993" w:rsidRDefault="005225FA" w:rsidP="001C1C94"/>
        </w:tc>
        <w:tc>
          <w:tcPr>
            <w:tcW w:w="4394" w:type="dxa"/>
          </w:tcPr>
          <w:p w14:paraId="72501A2B" w14:textId="438DBAF2" w:rsidR="001C1C94" w:rsidRPr="0076454D" w:rsidRDefault="001C1C94" w:rsidP="00071938">
            <w:r w:rsidRPr="0076454D">
              <w:t xml:space="preserve">Making Sure All Voices are heard in Dublin 12 </w:t>
            </w:r>
            <w:r w:rsidR="00071938">
              <w:t xml:space="preserve">organised and hosted by </w:t>
            </w:r>
            <w:proofErr w:type="spellStart"/>
            <w:r w:rsidR="00071938" w:rsidRPr="00882CA9">
              <w:t>Rathmines</w:t>
            </w:r>
            <w:proofErr w:type="spellEnd"/>
            <w:r w:rsidR="00071938" w:rsidRPr="00882CA9">
              <w:t xml:space="preserve"> Pembroke Community Partnership</w:t>
            </w:r>
            <w:r w:rsidR="00071938">
              <w:t>.</w:t>
            </w:r>
          </w:p>
        </w:tc>
        <w:tc>
          <w:tcPr>
            <w:tcW w:w="2693" w:type="dxa"/>
          </w:tcPr>
          <w:p w14:paraId="0608EAF2" w14:textId="77777777" w:rsidR="001C1C94" w:rsidRPr="00B33993" w:rsidRDefault="001C1C94" w:rsidP="001C1C94">
            <w:r w:rsidRPr="00B33993">
              <w:t>11</w:t>
            </w:r>
          </w:p>
        </w:tc>
      </w:tr>
      <w:tr w:rsidR="001C1C94" w:rsidRPr="00B33993" w14:paraId="52845632" w14:textId="77777777" w:rsidTr="00721430">
        <w:tc>
          <w:tcPr>
            <w:tcW w:w="2235" w:type="dxa"/>
            <w:vMerge/>
          </w:tcPr>
          <w:p w14:paraId="28963FE6" w14:textId="77777777" w:rsidR="001C1C94" w:rsidRPr="00B33993" w:rsidRDefault="001C1C94" w:rsidP="001C1C94"/>
        </w:tc>
        <w:tc>
          <w:tcPr>
            <w:tcW w:w="4394" w:type="dxa"/>
          </w:tcPr>
          <w:p w14:paraId="271E1DC4" w14:textId="705EEBBE" w:rsidR="001C1C94" w:rsidRPr="0076454D" w:rsidRDefault="001C1C94" w:rsidP="00071938">
            <w:r w:rsidRPr="0076454D">
              <w:t xml:space="preserve">Launch and discussion of the book ‘Paid For – My Journey through prostitution’ by Rachel Moran </w:t>
            </w:r>
            <w:r w:rsidR="00071938">
              <w:t xml:space="preserve">organised and hosted by </w:t>
            </w:r>
            <w:proofErr w:type="spellStart"/>
            <w:r w:rsidR="00071938" w:rsidRPr="005E09A7">
              <w:t>Doras</w:t>
            </w:r>
            <w:proofErr w:type="spellEnd"/>
            <w:r w:rsidR="00071938" w:rsidRPr="005E09A7">
              <w:t xml:space="preserve"> </w:t>
            </w:r>
            <w:proofErr w:type="spellStart"/>
            <w:r w:rsidR="00071938" w:rsidRPr="005E09A7">
              <w:t>Luimní</w:t>
            </w:r>
            <w:proofErr w:type="spellEnd"/>
            <w:r w:rsidR="00071938">
              <w:t xml:space="preserve"> </w:t>
            </w:r>
            <w:r w:rsidR="00071938" w:rsidRPr="0076454D">
              <w:t>(Limerick)</w:t>
            </w:r>
            <w:r w:rsidR="00071938">
              <w:t>.</w:t>
            </w:r>
          </w:p>
        </w:tc>
        <w:tc>
          <w:tcPr>
            <w:tcW w:w="2693" w:type="dxa"/>
          </w:tcPr>
          <w:p w14:paraId="4968BF6B" w14:textId="77777777" w:rsidR="001C1C94" w:rsidRPr="00B33993" w:rsidRDefault="001C1C94" w:rsidP="001C1C94">
            <w:r w:rsidRPr="00B33993">
              <w:t>60</w:t>
            </w:r>
          </w:p>
        </w:tc>
      </w:tr>
      <w:tr w:rsidR="001C1C94" w:rsidRPr="00B33993" w14:paraId="0A568777" w14:textId="77777777" w:rsidTr="0076454D">
        <w:trPr>
          <w:trHeight w:val="340"/>
        </w:trPr>
        <w:tc>
          <w:tcPr>
            <w:tcW w:w="2235" w:type="dxa"/>
            <w:vMerge/>
          </w:tcPr>
          <w:p w14:paraId="39EB8C57" w14:textId="77777777" w:rsidR="001C1C94" w:rsidRPr="00B33993" w:rsidRDefault="001C1C94" w:rsidP="001C1C94"/>
        </w:tc>
        <w:tc>
          <w:tcPr>
            <w:tcW w:w="4394" w:type="dxa"/>
          </w:tcPr>
          <w:p w14:paraId="1C73A6B8" w14:textId="720E86EA" w:rsidR="001C1C94" w:rsidRPr="00882CA9" w:rsidRDefault="001C1C94" w:rsidP="00882CA9">
            <w:pPr>
              <w:jc w:val="both"/>
              <w:rPr>
                <w:rFonts w:ascii="Garamond" w:hAnsi="Garamond"/>
                <w:b/>
                <w:i/>
              </w:rPr>
            </w:pPr>
            <w:r w:rsidRPr="0076454D">
              <w:t>Advocacy</w:t>
            </w:r>
            <w:r w:rsidR="00BD5C64">
              <w:t xml:space="preserve"> - w</w:t>
            </w:r>
            <w:r w:rsidRPr="0076454D">
              <w:t xml:space="preserve">hose role is it anyway? </w:t>
            </w:r>
            <w:r w:rsidR="00882CA9">
              <w:t>O</w:t>
            </w:r>
            <w:r w:rsidR="00071938">
              <w:t>rganised and hosted by</w:t>
            </w:r>
            <w:r w:rsidR="00071938" w:rsidRPr="00882CA9">
              <w:t xml:space="preserve"> Meath Equality, Rights and Anti</w:t>
            </w:r>
            <w:r w:rsidR="00882CA9">
              <w:t>-</w:t>
            </w:r>
            <w:r w:rsidR="00071938" w:rsidRPr="00882CA9">
              <w:t>Poverty Network</w:t>
            </w:r>
            <w:r w:rsidR="00D823D9">
              <w:t>.</w:t>
            </w:r>
          </w:p>
        </w:tc>
        <w:tc>
          <w:tcPr>
            <w:tcW w:w="2693" w:type="dxa"/>
          </w:tcPr>
          <w:p w14:paraId="1BCFB4C4" w14:textId="77777777" w:rsidR="001C1C94" w:rsidRPr="00B33993" w:rsidRDefault="001C1C94" w:rsidP="001C1C94">
            <w:r w:rsidRPr="00B33993">
              <w:t>50</w:t>
            </w:r>
          </w:p>
        </w:tc>
      </w:tr>
      <w:tr w:rsidR="001C1C94" w:rsidRPr="00B33993" w14:paraId="2427A769" w14:textId="77777777" w:rsidTr="00721430">
        <w:tc>
          <w:tcPr>
            <w:tcW w:w="2235" w:type="dxa"/>
            <w:vMerge/>
          </w:tcPr>
          <w:p w14:paraId="3497A5EA" w14:textId="77777777" w:rsidR="001C1C94" w:rsidRPr="00B33993" w:rsidRDefault="001C1C94" w:rsidP="001C1C94"/>
        </w:tc>
        <w:tc>
          <w:tcPr>
            <w:tcW w:w="4394" w:type="dxa"/>
          </w:tcPr>
          <w:p w14:paraId="38C4D900" w14:textId="47E8BF72" w:rsidR="001C1C94" w:rsidRPr="0076454D" w:rsidRDefault="001C1C94" w:rsidP="00882CA9">
            <w:r w:rsidRPr="0076454D">
              <w:t>Disconnect between policymakers and C&amp;V sector</w:t>
            </w:r>
            <w:r w:rsidR="00882CA9">
              <w:t>.</w:t>
            </w:r>
            <w:r w:rsidRPr="0076454D">
              <w:t xml:space="preserve"> </w:t>
            </w:r>
            <w:r w:rsidR="00882CA9">
              <w:t xml:space="preserve">Organised and hosted by </w:t>
            </w:r>
            <w:r w:rsidR="00882CA9" w:rsidRPr="00882CA9">
              <w:t>Limerick Active Citizen Network</w:t>
            </w:r>
            <w:r w:rsidR="00D823D9">
              <w:t>.</w:t>
            </w:r>
          </w:p>
        </w:tc>
        <w:tc>
          <w:tcPr>
            <w:tcW w:w="2693" w:type="dxa"/>
          </w:tcPr>
          <w:p w14:paraId="72C5AA6A" w14:textId="77777777" w:rsidR="001C1C94" w:rsidRPr="00B33993" w:rsidRDefault="001C1C94" w:rsidP="001C1C94">
            <w:r w:rsidRPr="00B33993">
              <w:t>8</w:t>
            </w:r>
          </w:p>
        </w:tc>
      </w:tr>
      <w:tr w:rsidR="001C1C94" w:rsidRPr="00B33993" w14:paraId="0BA19AD9" w14:textId="77777777" w:rsidTr="00721430">
        <w:tc>
          <w:tcPr>
            <w:tcW w:w="2235" w:type="dxa"/>
            <w:vMerge/>
          </w:tcPr>
          <w:p w14:paraId="204E2736" w14:textId="77777777" w:rsidR="001C1C94" w:rsidRPr="00B33993" w:rsidRDefault="001C1C94" w:rsidP="001C1C94"/>
        </w:tc>
        <w:tc>
          <w:tcPr>
            <w:tcW w:w="4394" w:type="dxa"/>
          </w:tcPr>
          <w:p w14:paraId="714301B4" w14:textId="2A551759" w:rsidR="001C1C94" w:rsidRPr="0076454D" w:rsidRDefault="001C1C94" w:rsidP="00882CA9">
            <w:r w:rsidRPr="0076454D">
              <w:t xml:space="preserve">Thriving &amp; Surviving in Changing Times </w:t>
            </w:r>
            <w:r w:rsidR="00882CA9" w:rsidRPr="00882CA9">
              <w:t>Limerick and Clare Education and Training Board</w:t>
            </w:r>
            <w:r w:rsidR="00882CA9">
              <w:t>.</w:t>
            </w:r>
          </w:p>
        </w:tc>
        <w:tc>
          <w:tcPr>
            <w:tcW w:w="2693" w:type="dxa"/>
          </w:tcPr>
          <w:p w14:paraId="32A55459" w14:textId="77777777" w:rsidR="001C1C94" w:rsidRPr="00B33993" w:rsidRDefault="001C1C94" w:rsidP="001C1C94">
            <w:r w:rsidRPr="00B33993">
              <w:t>30</w:t>
            </w:r>
          </w:p>
        </w:tc>
      </w:tr>
      <w:tr w:rsidR="001C1C94" w:rsidRPr="00B33993" w14:paraId="29F9BFE7" w14:textId="77777777" w:rsidTr="00721430">
        <w:tc>
          <w:tcPr>
            <w:tcW w:w="2235" w:type="dxa"/>
            <w:vMerge/>
          </w:tcPr>
          <w:p w14:paraId="51BE395E" w14:textId="77777777" w:rsidR="001C1C94" w:rsidRPr="00B33993" w:rsidRDefault="001C1C94" w:rsidP="001C1C94"/>
        </w:tc>
        <w:tc>
          <w:tcPr>
            <w:tcW w:w="4394" w:type="dxa"/>
          </w:tcPr>
          <w:p w14:paraId="09ABB061" w14:textId="0040E1BA" w:rsidR="001C1C94" w:rsidRPr="0076454D" w:rsidRDefault="001C1C94" w:rsidP="0076454D">
            <w:r w:rsidRPr="0076454D">
              <w:t>Are our hands tied</w:t>
            </w:r>
            <w:proofErr w:type="gramStart"/>
            <w:r w:rsidRPr="0076454D">
              <w:t>?</w:t>
            </w:r>
            <w:r w:rsidR="00882CA9">
              <w:t>.</w:t>
            </w:r>
            <w:proofErr w:type="gramEnd"/>
            <w:r w:rsidR="00882CA9">
              <w:t xml:space="preserve"> Organised and hosted by </w:t>
            </w:r>
            <w:r w:rsidR="009B4794">
              <w:t>Clare Active Citizenship Network</w:t>
            </w:r>
            <w:r w:rsidR="00882CA9">
              <w:t xml:space="preserve"> </w:t>
            </w:r>
            <w:r w:rsidRPr="0076454D">
              <w:t xml:space="preserve">(Clare) </w:t>
            </w:r>
          </w:p>
        </w:tc>
        <w:tc>
          <w:tcPr>
            <w:tcW w:w="2693" w:type="dxa"/>
          </w:tcPr>
          <w:p w14:paraId="1A9A3BED" w14:textId="77777777" w:rsidR="001C1C94" w:rsidRPr="00B33993" w:rsidRDefault="001C1C94" w:rsidP="001C1C94">
            <w:r w:rsidRPr="00B33993">
              <w:t>20</w:t>
            </w:r>
          </w:p>
        </w:tc>
      </w:tr>
      <w:tr w:rsidR="00875EED" w:rsidRPr="00B33993" w14:paraId="17ACECC1" w14:textId="77777777" w:rsidTr="00721430">
        <w:tc>
          <w:tcPr>
            <w:tcW w:w="2235" w:type="dxa"/>
            <w:vMerge/>
          </w:tcPr>
          <w:p w14:paraId="31E05B11" w14:textId="77777777" w:rsidR="00875EED" w:rsidRPr="00B33993" w:rsidRDefault="00875EED" w:rsidP="001C1C94"/>
        </w:tc>
        <w:tc>
          <w:tcPr>
            <w:tcW w:w="4394" w:type="dxa"/>
          </w:tcPr>
          <w:p w14:paraId="0712570C" w14:textId="5CD4F3AF" w:rsidR="00875EED" w:rsidRPr="00717EBD" w:rsidRDefault="00717EBD" w:rsidP="00717EBD">
            <w:r w:rsidRPr="00717EBD">
              <w:t>Artists for Civic Action- using theatre to advocate for social justice and influence public policy</w:t>
            </w:r>
            <w:r w:rsidR="00882CA9">
              <w:t>. Organised and hosted by</w:t>
            </w:r>
            <w:r w:rsidRPr="00717EBD">
              <w:t xml:space="preserve"> </w:t>
            </w:r>
            <w:r w:rsidR="00D823D9">
              <w:t>the Smashing Times Theatre Company</w:t>
            </w:r>
            <w:r w:rsidRPr="00717EBD">
              <w:t xml:space="preserve"> </w:t>
            </w:r>
            <w:r w:rsidR="00875EED" w:rsidRPr="00717EBD">
              <w:t>(Dublin)</w:t>
            </w:r>
            <w:r w:rsidR="00D823D9">
              <w:t>.</w:t>
            </w:r>
          </w:p>
        </w:tc>
        <w:tc>
          <w:tcPr>
            <w:tcW w:w="2693" w:type="dxa"/>
          </w:tcPr>
          <w:p w14:paraId="65A21FDA" w14:textId="1D0F3608" w:rsidR="00875EED" w:rsidRPr="00717EBD" w:rsidRDefault="00717EBD" w:rsidP="001C1C94">
            <w:r w:rsidRPr="00717EBD">
              <w:t>25</w:t>
            </w:r>
          </w:p>
        </w:tc>
      </w:tr>
      <w:tr w:rsidR="001C1C94" w:rsidRPr="00B33993" w14:paraId="7B69AC4C" w14:textId="77777777" w:rsidTr="00721430">
        <w:tc>
          <w:tcPr>
            <w:tcW w:w="2235" w:type="dxa"/>
            <w:vMerge/>
          </w:tcPr>
          <w:p w14:paraId="6D43BB5C" w14:textId="77777777" w:rsidR="001C1C94" w:rsidRPr="00B33993" w:rsidRDefault="001C1C94" w:rsidP="001C1C94"/>
        </w:tc>
        <w:tc>
          <w:tcPr>
            <w:tcW w:w="4394" w:type="dxa"/>
          </w:tcPr>
          <w:p w14:paraId="5A77AC56" w14:textId="500F6E40" w:rsidR="001C1C94" w:rsidRPr="0076454D" w:rsidRDefault="001C1C94" w:rsidP="00D823D9">
            <w:r w:rsidRPr="0076454D">
              <w:t>Creating Safe Communities where Children Can Flourish</w:t>
            </w:r>
            <w:r w:rsidR="00882CA9">
              <w:t xml:space="preserve">. </w:t>
            </w:r>
            <w:r w:rsidR="00D823D9">
              <w:t>Organised and hosted by</w:t>
            </w:r>
            <w:r w:rsidR="00D823D9" w:rsidRPr="0076454D">
              <w:t xml:space="preserve"> </w:t>
            </w:r>
            <w:r w:rsidR="00D823D9">
              <w:t>the Irish Society for the Prevention of Cruelty to Children (ISPCC).</w:t>
            </w:r>
          </w:p>
        </w:tc>
        <w:tc>
          <w:tcPr>
            <w:tcW w:w="2693" w:type="dxa"/>
          </w:tcPr>
          <w:p w14:paraId="3C1B3915" w14:textId="77777777" w:rsidR="001C1C94" w:rsidRPr="00B33993" w:rsidRDefault="001C1C94" w:rsidP="001C1C94">
            <w:r w:rsidRPr="00B33993">
              <w:t>65</w:t>
            </w:r>
          </w:p>
        </w:tc>
      </w:tr>
      <w:tr w:rsidR="001C1C94" w:rsidRPr="00B33993" w14:paraId="1007A357" w14:textId="77777777" w:rsidTr="00717EBD">
        <w:trPr>
          <w:trHeight w:val="489"/>
        </w:trPr>
        <w:tc>
          <w:tcPr>
            <w:tcW w:w="2235" w:type="dxa"/>
            <w:vMerge/>
          </w:tcPr>
          <w:p w14:paraId="2003DF5D" w14:textId="77777777" w:rsidR="001C1C94" w:rsidRPr="00B33993" w:rsidRDefault="001C1C94" w:rsidP="001C1C94"/>
        </w:tc>
        <w:tc>
          <w:tcPr>
            <w:tcW w:w="4394" w:type="dxa"/>
          </w:tcPr>
          <w:p w14:paraId="4F9CC116" w14:textId="0E4CADDE" w:rsidR="001C1C94" w:rsidRPr="0076454D" w:rsidRDefault="009B75D0" w:rsidP="00D823D9">
            <w:r>
              <w:t>Campaigning and Advocacy: T</w:t>
            </w:r>
            <w:r w:rsidR="005225FA">
              <w:t xml:space="preserve">he </w:t>
            </w:r>
            <w:proofErr w:type="gramStart"/>
            <w:r w:rsidR="005225FA">
              <w:t>experience of home care</w:t>
            </w:r>
            <w:proofErr w:type="gramEnd"/>
            <w:r w:rsidR="005225FA">
              <w:t xml:space="preserve"> campaigning</w:t>
            </w:r>
            <w:r w:rsidR="00882CA9">
              <w:t xml:space="preserve">. </w:t>
            </w:r>
            <w:r w:rsidR="00D823D9">
              <w:t xml:space="preserve">Organised and </w:t>
            </w:r>
            <w:r w:rsidR="00D823D9">
              <w:lastRenderedPageBreak/>
              <w:t>hosted by</w:t>
            </w:r>
            <w:r w:rsidR="00D823D9" w:rsidRPr="0076454D">
              <w:t xml:space="preserve"> </w:t>
            </w:r>
            <w:r w:rsidR="00D823D9">
              <w:t xml:space="preserve">the Carers Association </w:t>
            </w:r>
            <w:r w:rsidR="001C1C94" w:rsidRPr="0076454D">
              <w:t>(Dublin)</w:t>
            </w:r>
            <w:r w:rsidR="00D823D9">
              <w:t>.</w:t>
            </w:r>
          </w:p>
        </w:tc>
        <w:tc>
          <w:tcPr>
            <w:tcW w:w="2693" w:type="dxa"/>
          </w:tcPr>
          <w:p w14:paraId="4BA83BB6" w14:textId="77777777" w:rsidR="001C1C94" w:rsidRPr="00B33993" w:rsidRDefault="001C1C94" w:rsidP="001C1C94">
            <w:r w:rsidRPr="00B33993">
              <w:lastRenderedPageBreak/>
              <w:t>50</w:t>
            </w:r>
          </w:p>
        </w:tc>
      </w:tr>
      <w:tr w:rsidR="001C1C94" w:rsidRPr="00B33993" w14:paraId="1D096C16" w14:textId="77777777" w:rsidTr="00721430">
        <w:tc>
          <w:tcPr>
            <w:tcW w:w="2235" w:type="dxa"/>
            <w:vMerge/>
          </w:tcPr>
          <w:p w14:paraId="1011FB81" w14:textId="77777777" w:rsidR="001C1C94" w:rsidRPr="00B33993" w:rsidRDefault="001C1C94" w:rsidP="001C1C94"/>
        </w:tc>
        <w:tc>
          <w:tcPr>
            <w:tcW w:w="4394" w:type="dxa"/>
          </w:tcPr>
          <w:p w14:paraId="1CEA2E80" w14:textId="71755749" w:rsidR="001C1C94" w:rsidRPr="0076454D" w:rsidRDefault="00AD031A" w:rsidP="00AD031A">
            <w:r>
              <w:t>Knowledge Exchange Workshop</w:t>
            </w:r>
            <w:r w:rsidR="00882CA9">
              <w:t>. Organised and hosted by</w:t>
            </w:r>
            <w:r w:rsidR="00D823D9">
              <w:t xml:space="preserve"> the National University Galway.</w:t>
            </w:r>
          </w:p>
        </w:tc>
        <w:tc>
          <w:tcPr>
            <w:tcW w:w="2693" w:type="dxa"/>
          </w:tcPr>
          <w:p w14:paraId="5F06A589" w14:textId="77777777" w:rsidR="001C1C94" w:rsidRPr="00B33993" w:rsidRDefault="001C1C94" w:rsidP="001C1C94">
            <w:r w:rsidRPr="00B33993">
              <w:t>40</w:t>
            </w:r>
          </w:p>
        </w:tc>
      </w:tr>
      <w:tr w:rsidR="001C1C94" w:rsidRPr="00B33993" w14:paraId="244B8D85" w14:textId="77777777" w:rsidTr="00721430">
        <w:tc>
          <w:tcPr>
            <w:tcW w:w="2235" w:type="dxa"/>
            <w:vMerge/>
          </w:tcPr>
          <w:p w14:paraId="0D845060" w14:textId="1674440D" w:rsidR="001C1C94" w:rsidRPr="00B33993" w:rsidRDefault="001C1C94" w:rsidP="001C1C94"/>
        </w:tc>
        <w:tc>
          <w:tcPr>
            <w:tcW w:w="4394" w:type="dxa"/>
          </w:tcPr>
          <w:p w14:paraId="280C382F" w14:textId="1F7E9E62" w:rsidR="001C1C94" w:rsidRPr="0076454D" w:rsidRDefault="00700369" w:rsidP="00700369">
            <w:r>
              <w:t xml:space="preserve">'Our Community - Our Voices' Launch of a Human Rights Based Approach toolkit to inform </w:t>
            </w:r>
            <w:r w:rsidRPr="00700369">
              <w:t xml:space="preserve">advocates </w:t>
            </w:r>
            <w:r w:rsidR="00882CA9">
              <w:t xml:space="preserve">Organised and hosted by </w:t>
            </w:r>
            <w:r w:rsidR="00D823D9">
              <w:t xml:space="preserve">Dundalk Simon Community </w:t>
            </w:r>
            <w:r w:rsidR="001C1C94" w:rsidRPr="00700369">
              <w:t>(Louth)</w:t>
            </w:r>
            <w:r w:rsidR="00D823D9">
              <w:t>.</w:t>
            </w:r>
          </w:p>
        </w:tc>
        <w:tc>
          <w:tcPr>
            <w:tcW w:w="2693" w:type="dxa"/>
          </w:tcPr>
          <w:p w14:paraId="77D43D96" w14:textId="0260E266" w:rsidR="001C1C94" w:rsidRPr="00B33993" w:rsidRDefault="00B52C2C" w:rsidP="001C1C94">
            <w:r>
              <w:rPr>
                <w:rFonts w:cs="Calibri"/>
                <w:color w:val="000000"/>
              </w:rPr>
              <w:t xml:space="preserve"> 100</w:t>
            </w:r>
          </w:p>
        </w:tc>
      </w:tr>
      <w:tr w:rsidR="0076454D" w:rsidRPr="00B33993" w14:paraId="4AB08012" w14:textId="77777777" w:rsidTr="00721430">
        <w:tc>
          <w:tcPr>
            <w:tcW w:w="2235" w:type="dxa"/>
            <w:vMerge w:val="restart"/>
          </w:tcPr>
          <w:p w14:paraId="0180DBB2" w14:textId="34947F0B" w:rsidR="0076454D" w:rsidRPr="00B33993" w:rsidRDefault="0076454D" w:rsidP="007C54C3">
            <w:r w:rsidRPr="00B33993">
              <w:t>Other Events</w:t>
            </w:r>
            <w:r>
              <w:t xml:space="preserve"> (</w:t>
            </w:r>
            <w:r w:rsidR="007C54C3">
              <w:t>2</w:t>
            </w:r>
            <w:r>
              <w:t>)</w:t>
            </w:r>
          </w:p>
        </w:tc>
        <w:tc>
          <w:tcPr>
            <w:tcW w:w="4394" w:type="dxa"/>
          </w:tcPr>
          <w:p w14:paraId="054A2BF4" w14:textId="77777777" w:rsidR="0076454D" w:rsidRPr="00B33993" w:rsidRDefault="0076454D" w:rsidP="001C1C94">
            <w:r w:rsidRPr="00B33993">
              <w:t>Advocacy and Philanthropy  (July 2013)</w:t>
            </w:r>
          </w:p>
        </w:tc>
        <w:tc>
          <w:tcPr>
            <w:tcW w:w="2693" w:type="dxa"/>
          </w:tcPr>
          <w:p w14:paraId="0984E777" w14:textId="77777777" w:rsidR="0076454D" w:rsidRPr="00B33993" w:rsidRDefault="0076454D" w:rsidP="001C1C94">
            <w:r w:rsidRPr="00B33993">
              <w:t>50</w:t>
            </w:r>
          </w:p>
        </w:tc>
      </w:tr>
      <w:tr w:rsidR="0076454D" w:rsidRPr="00B33993" w14:paraId="27C12818" w14:textId="77777777" w:rsidTr="00721430">
        <w:tc>
          <w:tcPr>
            <w:tcW w:w="2235" w:type="dxa"/>
            <w:vMerge/>
          </w:tcPr>
          <w:p w14:paraId="702E0316" w14:textId="77777777" w:rsidR="0076454D" w:rsidRPr="00B33993" w:rsidRDefault="0076454D" w:rsidP="001C1C94"/>
        </w:tc>
        <w:tc>
          <w:tcPr>
            <w:tcW w:w="4394" w:type="dxa"/>
          </w:tcPr>
          <w:p w14:paraId="303946F3" w14:textId="67BB08CF" w:rsidR="0076454D" w:rsidRPr="00E16E5F" w:rsidRDefault="005225FA" w:rsidP="005225FA">
            <w:pPr>
              <w:rPr>
                <w:lang w:val="en-US"/>
              </w:rPr>
            </w:pPr>
            <w:r>
              <w:rPr>
                <w:lang w:val="en-US"/>
              </w:rPr>
              <w:t>Implications of the electoral acts and the regulation of political financing for social justice advocacy</w:t>
            </w:r>
            <w:r w:rsidRPr="005225FA" w:rsidDel="005225FA">
              <w:t xml:space="preserve"> </w:t>
            </w:r>
            <w:r>
              <w:t>(</w:t>
            </w:r>
            <w:r w:rsidR="00E9100A">
              <w:t xml:space="preserve">March 2014) </w:t>
            </w:r>
          </w:p>
        </w:tc>
        <w:tc>
          <w:tcPr>
            <w:tcW w:w="2693" w:type="dxa"/>
          </w:tcPr>
          <w:p w14:paraId="206397BE" w14:textId="7BAC5C30" w:rsidR="0076454D" w:rsidRPr="00B33993" w:rsidRDefault="005225FA" w:rsidP="007C54C3">
            <w:r w:rsidRPr="00875EED">
              <w:t>16</w:t>
            </w:r>
          </w:p>
        </w:tc>
      </w:tr>
    </w:tbl>
    <w:p w14:paraId="382BF2EA" w14:textId="77777777" w:rsidR="001C1C94" w:rsidRDefault="001C1C94" w:rsidP="001C1C94">
      <w:pPr>
        <w:spacing w:line="240" w:lineRule="auto"/>
      </w:pPr>
    </w:p>
    <w:p w14:paraId="4AF3B886" w14:textId="7D611157" w:rsidR="00BD42A7" w:rsidRPr="00BD42A7" w:rsidRDefault="0023078B" w:rsidP="00421D6A">
      <w:pPr>
        <w:pStyle w:val="Heading2"/>
      </w:pPr>
      <w:bookmarkStart w:id="29" w:name="_Toc394492948"/>
      <w:bookmarkStart w:id="30" w:name="_Toc394493482"/>
      <w:r w:rsidRPr="0023078B">
        <w:t>2.10 Communications</w:t>
      </w:r>
      <w:bookmarkEnd w:id="29"/>
      <w:bookmarkEnd w:id="30"/>
    </w:p>
    <w:p w14:paraId="02FAC4E0" w14:textId="59DA1122" w:rsidR="00BD42A7" w:rsidRPr="00BD42A7" w:rsidRDefault="00427818" w:rsidP="00182F69">
      <w:pPr>
        <w:spacing w:line="240" w:lineRule="auto"/>
      </w:pPr>
      <w:r>
        <w:t>I</w:t>
      </w:r>
      <w:r w:rsidRPr="00BD42A7">
        <w:t xml:space="preserve">nternal and external communications were identified as </w:t>
      </w:r>
      <w:r>
        <w:t>important</w:t>
      </w:r>
      <w:r w:rsidRPr="00BD42A7">
        <w:t xml:space="preserve"> </w:t>
      </w:r>
      <w:r>
        <w:t>early in the development of t</w:t>
      </w:r>
      <w:r w:rsidR="00BD42A7" w:rsidRPr="00BD42A7">
        <w:t xml:space="preserve">he Initiative. We developed a two phase </w:t>
      </w:r>
      <w:r w:rsidR="00EA48A7">
        <w:t>c</w:t>
      </w:r>
      <w:r w:rsidR="00BD42A7" w:rsidRPr="00BD42A7">
        <w:t xml:space="preserve">ommunications </w:t>
      </w:r>
      <w:r w:rsidR="00EA48A7">
        <w:t>p</w:t>
      </w:r>
      <w:r w:rsidR="00BD42A7" w:rsidRPr="00BD42A7">
        <w:t xml:space="preserve">lan to guide our work in this area. The first phase of the plan focused on building awareness and credibility of the </w:t>
      </w:r>
      <w:r w:rsidR="00221BE3">
        <w:t>I</w:t>
      </w:r>
      <w:r w:rsidR="00BD42A7" w:rsidRPr="00BD42A7">
        <w:t xml:space="preserve">nitiative among key social justice stakeholders and on building our capacity to </w:t>
      </w:r>
      <w:r w:rsidR="00A059A7">
        <w:t xml:space="preserve">engage with the wider </w:t>
      </w:r>
      <w:r w:rsidR="00BD42A7" w:rsidRPr="00BD42A7">
        <w:t>media.  The second phase of the plan focused on strengthening the reach of the Initiative and on strengthening support for social just</w:t>
      </w:r>
      <w:r>
        <w:t>ice advocacy more generally. This</w:t>
      </w:r>
      <w:r w:rsidR="00BD42A7" w:rsidRPr="00BD42A7">
        <w:t xml:space="preserve"> </w:t>
      </w:r>
      <w:r w:rsidR="00B52C2C">
        <w:t>p</w:t>
      </w:r>
      <w:r w:rsidR="00BD42A7" w:rsidRPr="00BD42A7">
        <w:t xml:space="preserve">lan </w:t>
      </w:r>
      <w:r w:rsidR="00A059A7">
        <w:t>(</w:t>
      </w:r>
      <w:r>
        <w:t xml:space="preserve">which </w:t>
      </w:r>
      <w:r w:rsidR="00BD42A7" w:rsidRPr="00BD42A7">
        <w:t>benefited from the recruitment of a part-time Communications Officer in October 2012</w:t>
      </w:r>
      <w:r w:rsidR="00A059A7">
        <w:t>) was both ambitious and challenging</w:t>
      </w:r>
      <w:r w:rsidR="00BD42A7" w:rsidRPr="00BD42A7">
        <w:t xml:space="preserve">. </w:t>
      </w:r>
    </w:p>
    <w:p w14:paraId="695F70D5" w14:textId="77777777" w:rsidR="00BD42A7" w:rsidRPr="00BD42A7" w:rsidRDefault="00BD42A7" w:rsidP="00182F69">
      <w:pPr>
        <w:spacing w:line="240" w:lineRule="auto"/>
      </w:pPr>
      <w:r w:rsidRPr="00BD42A7">
        <w:t>Our key communication tools included:</w:t>
      </w:r>
    </w:p>
    <w:p w14:paraId="0D7882B6" w14:textId="2898ADA3" w:rsidR="00BD42A7" w:rsidRPr="00BD42A7" w:rsidRDefault="00BD42A7" w:rsidP="009B4794">
      <w:pPr>
        <w:numPr>
          <w:ilvl w:val="0"/>
          <w:numId w:val="22"/>
        </w:numPr>
        <w:spacing w:line="240" w:lineRule="auto"/>
        <w:contextualSpacing/>
      </w:pPr>
      <w:r w:rsidRPr="00BD42A7">
        <w:t>The development and operation of the Advocacy Initiative website (which went live on 22</w:t>
      </w:r>
      <w:r w:rsidRPr="00BD42A7">
        <w:rPr>
          <w:vertAlign w:val="superscript"/>
        </w:rPr>
        <w:t>nd</w:t>
      </w:r>
      <w:r w:rsidR="009B75D0">
        <w:t xml:space="preserve"> June 2012) has had 12,335</w:t>
      </w:r>
      <w:r w:rsidR="00EA48A7">
        <w:t xml:space="preserve"> </w:t>
      </w:r>
      <w:r w:rsidRPr="00BD42A7">
        <w:t xml:space="preserve">unique visitors, </w:t>
      </w:r>
      <w:r w:rsidR="009B75D0">
        <w:t>42%</w:t>
      </w:r>
      <w:r w:rsidRPr="00BD42A7">
        <w:t xml:space="preserve"> of which were return visitors, the average number of pages visited per visit was </w:t>
      </w:r>
      <w:r w:rsidR="009B75D0">
        <w:t>3.35</w:t>
      </w:r>
      <w:r w:rsidRPr="00BD42A7">
        <w:t>.</w:t>
      </w:r>
    </w:p>
    <w:p w14:paraId="633B36BD" w14:textId="77777777" w:rsidR="00BD42A7" w:rsidRPr="00BD42A7" w:rsidRDefault="00BD42A7" w:rsidP="00182F69">
      <w:pPr>
        <w:spacing w:line="240" w:lineRule="auto"/>
        <w:ind w:left="720"/>
        <w:contextualSpacing/>
      </w:pPr>
    </w:p>
    <w:p w14:paraId="71AFDA75" w14:textId="77777777" w:rsidR="00BD42A7" w:rsidRPr="00BD42A7" w:rsidRDefault="00BD42A7" w:rsidP="009B4794">
      <w:pPr>
        <w:numPr>
          <w:ilvl w:val="0"/>
          <w:numId w:val="22"/>
        </w:numPr>
        <w:spacing w:line="240" w:lineRule="auto"/>
        <w:contextualSpacing/>
      </w:pPr>
      <w:r w:rsidRPr="00BD42A7">
        <w:t>The development and operation of our customer relationship management (CRM) database which monitored and tracked all our interactions by the various different stakeholders involved with the Initiative.</w:t>
      </w:r>
    </w:p>
    <w:p w14:paraId="025CA6A1" w14:textId="77777777" w:rsidR="00BD42A7" w:rsidRPr="00BD42A7" w:rsidRDefault="00BD42A7" w:rsidP="00182F69">
      <w:pPr>
        <w:spacing w:line="240" w:lineRule="auto"/>
        <w:ind w:left="720"/>
        <w:contextualSpacing/>
      </w:pPr>
    </w:p>
    <w:p w14:paraId="37712629" w14:textId="41347C0C" w:rsidR="00BD42A7" w:rsidRPr="00BD42A7" w:rsidRDefault="00BD42A7" w:rsidP="009B4794">
      <w:pPr>
        <w:numPr>
          <w:ilvl w:val="0"/>
          <w:numId w:val="22"/>
        </w:numPr>
        <w:spacing w:line="240" w:lineRule="auto"/>
        <w:contextualSpacing/>
      </w:pPr>
      <w:r w:rsidRPr="00BD42A7">
        <w:t>The monthly</w:t>
      </w:r>
      <w:r w:rsidR="00A059A7">
        <w:t xml:space="preserve"> Advocacy Post e</w:t>
      </w:r>
      <w:r w:rsidR="00423623">
        <w:t>-</w:t>
      </w:r>
      <w:r w:rsidR="00A059A7">
        <w:t xml:space="preserve">mail newsletter as well as monthly updates for The Wheel’s Focal Point newsletter. </w:t>
      </w:r>
    </w:p>
    <w:p w14:paraId="0AD1CB2A" w14:textId="77777777" w:rsidR="00BD42A7" w:rsidRPr="00BD42A7" w:rsidRDefault="00BD42A7" w:rsidP="00182F69">
      <w:pPr>
        <w:spacing w:line="240" w:lineRule="auto"/>
        <w:ind w:left="720"/>
        <w:contextualSpacing/>
      </w:pPr>
    </w:p>
    <w:p w14:paraId="2D6BD3B0" w14:textId="420C1AC7" w:rsidR="00BD42A7" w:rsidRPr="00BD42A7" w:rsidRDefault="00BD42A7" w:rsidP="009B4794">
      <w:pPr>
        <w:numPr>
          <w:ilvl w:val="0"/>
          <w:numId w:val="22"/>
        </w:numPr>
        <w:spacing w:line="240" w:lineRule="auto"/>
        <w:contextualSpacing/>
      </w:pPr>
      <w:r w:rsidRPr="00BD42A7">
        <w:t>The use of Social Media (Facebook and Twitter)</w:t>
      </w:r>
      <w:r w:rsidR="00A059A7">
        <w:t>.</w:t>
      </w:r>
      <w:r w:rsidRPr="00BD42A7">
        <w:t xml:space="preserve"> We made more use of Twitter than we did Facebook as it was a channel that suited our needs to disseminate information and was used at events for people to comment via hashtags. </w:t>
      </w:r>
    </w:p>
    <w:p w14:paraId="1CA4E114" w14:textId="77777777" w:rsidR="00BD42A7" w:rsidRPr="00BD42A7" w:rsidRDefault="00BD42A7" w:rsidP="00182F69">
      <w:pPr>
        <w:spacing w:line="240" w:lineRule="auto"/>
        <w:ind w:left="720"/>
        <w:contextualSpacing/>
      </w:pPr>
    </w:p>
    <w:p w14:paraId="7C5B8372" w14:textId="1D4F487C" w:rsidR="00BD42A7" w:rsidRPr="00BD42A7" w:rsidRDefault="00BD42A7" w:rsidP="009B4794">
      <w:pPr>
        <w:numPr>
          <w:ilvl w:val="0"/>
          <w:numId w:val="22"/>
        </w:numPr>
        <w:spacing w:line="240" w:lineRule="auto"/>
        <w:contextualSpacing/>
      </w:pPr>
      <w:r w:rsidRPr="00BD42A7">
        <w:t xml:space="preserve">The commissioning of blogs (see Table 2.2) with an average of three minutes spent reading </w:t>
      </w:r>
      <w:r w:rsidR="00EA48A7">
        <w:t>each</w:t>
      </w:r>
      <w:r w:rsidRPr="00BD42A7">
        <w:t xml:space="preserve"> blog.</w:t>
      </w:r>
    </w:p>
    <w:p w14:paraId="5DCE9BAE" w14:textId="77777777" w:rsidR="00BD42A7" w:rsidRPr="00BD42A7" w:rsidRDefault="00BD42A7" w:rsidP="00182F69">
      <w:pPr>
        <w:spacing w:line="240" w:lineRule="auto"/>
        <w:ind w:left="720"/>
        <w:contextualSpacing/>
      </w:pPr>
    </w:p>
    <w:p w14:paraId="351D3556" w14:textId="4924C36D" w:rsidR="00BD42A7" w:rsidRDefault="00BD42A7" w:rsidP="009B4794">
      <w:pPr>
        <w:numPr>
          <w:ilvl w:val="0"/>
          <w:numId w:val="22"/>
        </w:numPr>
        <w:spacing w:line="240" w:lineRule="auto"/>
        <w:contextualSpacing/>
      </w:pPr>
      <w:r w:rsidRPr="00BD42A7">
        <w:t xml:space="preserve">The development of various print materials which provided information on the Initiative.  </w:t>
      </w:r>
    </w:p>
    <w:p w14:paraId="4CC6E789" w14:textId="77777777" w:rsidR="00693446" w:rsidRPr="00BD42A7" w:rsidRDefault="00693446" w:rsidP="00693446">
      <w:pPr>
        <w:spacing w:line="240" w:lineRule="auto"/>
        <w:ind w:left="720"/>
        <w:contextualSpacing/>
      </w:pPr>
    </w:p>
    <w:p w14:paraId="31AB5BD1" w14:textId="12086C8E" w:rsidR="00BD42A7" w:rsidRDefault="00BD42A7" w:rsidP="009B4794">
      <w:pPr>
        <w:numPr>
          <w:ilvl w:val="0"/>
          <w:numId w:val="22"/>
        </w:numPr>
        <w:spacing w:line="240" w:lineRule="auto"/>
        <w:contextualSpacing/>
      </w:pPr>
      <w:r w:rsidRPr="004866E5">
        <w:t xml:space="preserve">Engagement with the </w:t>
      </w:r>
      <w:r w:rsidR="00A059A7" w:rsidRPr="004866E5">
        <w:t xml:space="preserve">wider </w:t>
      </w:r>
      <w:r w:rsidRPr="004866E5">
        <w:t>media (to raise awareness of the work, events and findings emerging from the work of the Initiative) through press releases and articles).</w:t>
      </w:r>
      <w:r w:rsidR="00C17123" w:rsidRPr="004866E5" w:rsidDel="00C17123">
        <w:t xml:space="preserve"> </w:t>
      </w:r>
      <w:r w:rsidR="00401EB9" w:rsidRPr="004866E5">
        <w:t>M</w:t>
      </w:r>
      <w:r w:rsidRPr="004866E5">
        <w:t xml:space="preserve">edia coverage achieved </w:t>
      </w:r>
      <w:r w:rsidR="00401EB9" w:rsidRPr="004866E5">
        <w:t xml:space="preserve">included articles in the Irish Times (5 articles and a series of letters), The Irish Examiner (2), the Irish Independent (1), the Evening Herald (1), Thejournal.ie (2), </w:t>
      </w:r>
      <w:proofErr w:type="gramStart"/>
      <w:r w:rsidR="00401EB9" w:rsidRPr="004866E5">
        <w:t>Be</w:t>
      </w:r>
      <w:proofErr w:type="gramEnd"/>
      <w:r w:rsidR="00401EB9" w:rsidRPr="004866E5">
        <w:t xml:space="preserve"> the Change (2) and the Irish Social Worker Journal (1).</w:t>
      </w:r>
    </w:p>
    <w:p w14:paraId="21583AFC" w14:textId="77777777" w:rsidR="00421D6A" w:rsidRPr="004866E5" w:rsidRDefault="00421D6A" w:rsidP="00421D6A">
      <w:pPr>
        <w:spacing w:line="240" w:lineRule="auto"/>
        <w:contextualSpacing/>
      </w:pPr>
      <w:bookmarkStart w:id="31" w:name="_GoBack"/>
      <w:bookmarkEnd w:id="31"/>
    </w:p>
    <w:p w14:paraId="33FAA94E" w14:textId="6AFB5DE7" w:rsidR="001C1C94" w:rsidRPr="00B33993" w:rsidRDefault="000A67B3" w:rsidP="00421D6A">
      <w:pPr>
        <w:pStyle w:val="Heading2"/>
      </w:pPr>
      <w:bookmarkStart w:id="32" w:name="_Toc394492949"/>
      <w:bookmarkStart w:id="33" w:name="_Toc394493483"/>
      <w:r w:rsidRPr="00B33993">
        <w:lastRenderedPageBreak/>
        <w:t>2.1</w:t>
      </w:r>
      <w:r w:rsidR="0023078B">
        <w:t>1</w:t>
      </w:r>
      <w:r w:rsidR="001C1C94" w:rsidRPr="00B33993">
        <w:t xml:space="preserve"> Engagements</w:t>
      </w:r>
      <w:r w:rsidR="00EA48A7">
        <w:t xml:space="preserve"> with stakeholder groups</w:t>
      </w:r>
      <w:bookmarkEnd w:id="32"/>
      <w:bookmarkEnd w:id="33"/>
    </w:p>
    <w:p w14:paraId="323DE3B6" w14:textId="507D6404" w:rsidR="00EE4074" w:rsidRPr="00B33993" w:rsidRDefault="00EE4074" w:rsidP="001C1C94">
      <w:pPr>
        <w:spacing w:line="240" w:lineRule="auto"/>
      </w:pPr>
      <w:r w:rsidRPr="00B33993">
        <w:t xml:space="preserve">An important part of </w:t>
      </w:r>
      <w:r w:rsidR="00B834A4">
        <w:t xml:space="preserve">our work was our </w:t>
      </w:r>
      <w:r w:rsidR="00E33647">
        <w:t xml:space="preserve">proactive and targeted </w:t>
      </w:r>
      <w:r w:rsidRPr="00B33993">
        <w:t xml:space="preserve">engagement with various groups involved in social justice advocacy work.  </w:t>
      </w:r>
      <w:r w:rsidR="00B834A4">
        <w:t xml:space="preserve">We </w:t>
      </w:r>
      <w:r w:rsidR="0023078B">
        <w:t xml:space="preserve">proactively </w:t>
      </w:r>
      <w:r w:rsidR="00E33647">
        <w:t xml:space="preserve">engaged with a wide range of groups across a wide range of </w:t>
      </w:r>
      <w:r w:rsidR="001342B8">
        <w:t>sectors;</w:t>
      </w:r>
      <w:r w:rsidR="00E33647">
        <w:t xml:space="preserve"> s</w:t>
      </w:r>
      <w:r w:rsidRPr="00B33993">
        <w:t>ee Table 2.</w:t>
      </w:r>
      <w:r w:rsidR="00693446">
        <w:t>4</w:t>
      </w:r>
      <w:r w:rsidRPr="00B33993">
        <w:t xml:space="preserve"> for an overview of these </w:t>
      </w:r>
      <w:r w:rsidR="00175F90" w:rsidRPr="00B33993">
        <w:t>engagements</w:t>
      </w:r>
      <w:r w:rsidR="00693446">
        <w:t>.</w:t>
      </w:r>
    </w:p>
    <w:tbl>
      <w:tblPr>
        <w:tblStyle w:val="TableGrid"/>
        <w:tblW w:w="9322" w:type="dxa"/>
        <w:tblLook w:val="04A0" w:firstRow="1" w:lastRow="0" w:firstColumn="1" w:lastColumn="0" w:noHBand="0" w:noVBand="1"/>
      </w:tblPr>
      <w:tblGrid>
        <w:gridCol w:w="3937"/>
        <w:gridCol w:w="5385"/>
      </w:tblGrid>
      <w:tr w:rsidR="00175F90" w:rsidRPr="00B33993" w14:paraId="79B92074" w14:textId="77777777" w:rsidTr="00175F90">
        <w:tc>
          <w:tcPr>
            <w:tcW w:w="9322" w:type="dxa"/>
            <w:gridSpan w:val="2"/>
            <w:shd w:val="clear" w:color="auto" w:fill="CCC0D9" w:themeFill="accent4" w:themeFillTint="66"/>
          </w:tcPr>
          <w:p w14:paraId="6D8746EF" w14:textId="0CB8AC49" w:rsidR="00175F90" w:rsidRPr="00B33993" w:rsidRDefault="00175F90" w:rsidP="0056120D">
            <w:pPr>
              <w:pStyle w:val="Heading4"/>
              <w:outlineLvl w:val="3"/>
              <w:rPr>
                <w:color w:val="7030A0"/>
              </w:rPr>
            </w:pPr>
            <w:r w:rsidRPr="00B33993">
              <w:t>Table 2.</w:t>
            </w:r>
            <w:r w:rsidR="00693446">
              <w:t>4</w:t>
            </w:r>
            <w:r w:rsidR="0023078B">
              <w:t xml:space="preserve"> Pro-active</w:t>
            </w:r>
            <w:r w:rsidRPr="00B33993">
              <w:t xml:space="preserve"> </w:t>
            </w:r>
            <w:r w:rsidR="00427818">
              <w:t>e</w:t>
            </w:r>
            <w:r w:rsidRPr="00B33993">
              <w:t>ngagement with groups involved in social justice advocacy work</w:t>
            </w:r>
          </w:p>
        </w:tc>
      </w:tr>
      <w:tr w:rsidR="001C1C94" w:rsidRPr="00B33993" w14:paraId="76880FF4" w14:textId="77777777" w:rsidTr="00175F90">
        <w:tc>
          <w:tcPr>
            <w:tcW w:w="3937" w:type="dxa"/>
            <w:shd w:val="clear" w:color="auto" w:fill="CCC0D9" w:themeFill="accent4" w:themeFillTint="66"/>
          </w:tcPr>
          <w:p w14:paraId="4E1EF60E" w14:textId="77777777" w:rsidR="001C1C94" w:rsidRPr="00B33993" w:rsidRDefault="001C1C94" w:rsidP="00175F90">
            <w:pPr>
              <w:rPr>
                <w:i/>
              </w:rPr>
            </w:pPr>
            <w:r w:rsidRPr="00B33993">
              <w:rPr>
                <w:i/>
              </w:rPr>
              <w:t xml:space="preserve">Group </w:t>
            </w:r>
            <w:r w:rsidR="00175F90" w:rsidRPr="00B33993">
              <w:rPr>
                <w:i/>
              </w:rPr>
              <w:t xml:space="preserve">type </w:t>
            </w:r>
          </w:p>
          <w:p w14:paraId="14D250EE" w14:textId="77777777" w:rsidR="00175F90" w:rsidRPr="00B33993" w:rsidRDefault="00175F90" w:rsidP="00175F90">
            <w:pPr>
              <w:rPr>
                <w:i/>
              </w:rPr>
            </w:pPr>
          </w:p>
        </w:tc>
        <w:tc>
          <w:tcPr>
            <w:tcW w:w="5385" w:type="dxa"/>
            <w:shd w:val="clear" w:color="auto" w:fill="CCC0D9" w:themeFill="accent4" w:themeFillTint="66"/>
          </w:tcPr>
          <w:p w14:paraId="637765C5" w14:textId="77777777" w:rsidR="001C1C94" w:rsidRPr="00B33993" w:rsidRDefault="00175F90" w:rsidP="001C1C94">
            <w:pPr>
              <w:rPr>
                <w:i/>
              </w:rPr>
            </w:pPr>
            <w:r w:rsidRPr="00B33993">
              <w:rPr>
                <w:i/>
              </w:rPr>
              <w:t>Description of engagement</w:t>
            </w:r>
          </w:p>
        </w:tc>
      </w:tr>
      <w:tr w:rsidR="00175F90" w:rsidRPr="00B33993" w14:paraId="4594EC6A" w14:textId="77777777" w:rsidTr="00175F90">
        <w:trPr>
          <w:trHeight w:val="750"/>
        </w:trPr>
        <w:tc>
          <w:tcPr>
            <w:tcW w:w="3937" w:type="dxa"/>
          </w:tcPr>
          <w:p w14:paraId="5CD8F83A" w14:textId="77777777" w:rsidR="00175F90" w:rsidRPr="00B33993" w:rsidRDefault="00EE6F20" w:rsidP="001C1C94">
            <w:r w:rsidRPr="00B33993">
              <w:t>Elected r</w:t>
            </w:r>
            <w:r w:rsidR="00175F90" w:rsidRPr="00B33993">
              <w:t>epresentatives (current &amp; former)</w:t>
            </w:r>
          </w:p>
        </w:tc>
        <w:tc>
          <w:tcPr>
            <w:tcW w:w="5385" w:type="dxa"/>
          </w:tcPr>
          <w:p w14:paraId="0AB7BB31" w14:textId="77777777" w:rsidR="00175F90" w:rsidRPr="00B33993" w:rsidRDefault="00175F90" w:rsidP="00175F90">
            <w:pPr>
              <w:autoSpaceDE w:val="0"/>
              <w:autoSpaceDN w:val="0"/>
              <w:adjustRightInd w:val="0"/>
              <w:rPr>
                <w:rFonts w:cs="Helvetica"/>
              </w:rPr>
            </w:pPr>
            <w:r w:rsidRPr="00B33993">
              <w:t xml:space="preserve">16 one to one interviews with </w:t>
            </w:r>
            <w:r w:rsidRPr="00B33993">
              <w:rPr>
                <w:rFonts w:cs="Helvetica"/>
              </w:rPr>
              <w:t>politicians and former politicians, (including eight undertaken as part of the Perceptions Study)</w:t>
            </w:r>
          </w:p>
        </w:tc>
      </w:tr>
      <w:tr w:rsidR="00175F90" w:rsidRPr="00B33993" w14:paraId="4FFCA179" w14:textId="77777777" w:rsidTr="00EE4074">
        <w:tc>
          <w:tcPr>
            <w:tcW w:w="3937" w:type="dxa"/>
            <w:vMerge w:val="restart"/>
          </w:tcPr>
          <w:p w14:paraId="7D3E7F63" w14:textId="77777777" w:rsidR="00175F90" w:rsidRPr="00B33993" w:rsidRDefault="00EE6F20" w:rsidP="001C1C94">
            <w:r w:rsidRPr="00B33993">
              <w:t>Civil/public s</w:t>
            </w:r>
            <w:r w:rsidR="00175F90" w:rsidRPr="00B33993">
              <w:t>ervants - (former &amp; current)</w:t>
            </w:r>
          </w:p>
        </w:tc>
        <w:tc>
          <w:tcPr>
            <w:tcW w:w="5385" w:type="dxa"/>
          </w:tcPr>
          <w:p w14:paraId="61A9F3D8" w14:textId="2F86DECE" w:rsidR="00175F90" w:rsidRPr="00B33993" w:rsidRDefault="00221BE3" w:rsidP="00175F90">
            <w:pPr>
              <w:autoSpaceDE w:val="0"/>
              <w:autoSpaceDN w:val="0"/>
              <w:adjustRightInd w:val="0"/>
            </w:pPr>
            <w:r>
              <w:rPr>
                <w:rFonts w:cs="Helvetica"/>
              </w:rPr>
              <w:t>O</w:t>
            </w:r>
            <w:r w:rsidR="00175F90" w:rsidRPr="00B33993">
              <w:rPr>
                <w:rFonts w:cs="Helvetica"/>
              </w:rPr>
              <w:t>ne to one interviews and a focus group</w:t>
            </w:r>
            <w:r w:rsidR="00175F90" w:rsidRPr="00B33993">
              <w:t xml:space="preserve"> undertaken with </w:t>
            </w:r>
            <w:r w:rsidR="00EA48A7">
              <w:t>six</w:t>
            </w:r>
            <w:r>
              <w:t xml:space="preserve"> </w:t>
            </w:r>
            <w:r w:rsidR="00175F90" w:rsidRPr="00B33993">
              <w:t xml:space="preserve">retired civil servants </w:t>
            </w:r>
          </w:p>
        </w:tc>
      </w:tr>
      <w:tr w:rsidR="00175F90" w:rsidRPr="00B33993" w14:paraId="2B9D4C9B" w14:textId="77777777" w:rsidTr="00EE4074">
        <w:tc>
          <w:tcPr>
            <w:tcW w:w="3937" w:type="dxa"/>
            <w:vMerge/>
          </w:tcPr>
          <w:p w14:paraId="29CB9066" w14:textId="77777777" w:rsidR="00175F90" w:rsidRPr="00B33993" w:rsidRDefault="00175F90" w:rsidP="001C1C94"/>
        </w:tc>
        <w:tc>
          <w:tcPr>
            <w:tcW w:w="5385" w:type="dxa"/>
          </w:tcPr>
          <w:p w14:paraId="016F730C" w14:textId="77777777" w:rsidR="00175F90" w:rsidRPr="00B33993" w:rsidRDefault="00175F90" w:rsidP="00175F90">
            <w:r w:rsidRPr="00B33993">
              <w:rPr>
                <w:rFonts w:cs="Helvetica"/>
              </w:rPr>
              <w:t xml:space="preserve">11 one to one interviews undertaken </w:t>
            </w:r>
            <w:r w:rsidRPr="00B33993">
              <w:t xml:space="preserve">with current civil servants </w:t>
            </w:r>
            <w:r w:rsidRPr="00B33993">
              <w:rPr>
                <w:rFonts w:cs="Helvetica"/>
              </w:rPr>
              <w:t>as part of the Perceptions Study</w:t>
            </w:r>
          </w:p>
        </w:tc>
      </w:tr>
      <w:tr w:rsidR="00175F90" w:rsidRPr="00B33993" w14:paraId="49F67A06" w14:textId="77777777" w:rsidTr="00EE4074">
        <w:tc>
          <w:tcPr>
            <w:tcW w:w="3937" w:type="dxa"/>
            <w:vMerge/>
          </w:tcPr>
          <w:p w14:paraId="4C90A775" w14:textId="77777777" w:rsidR="00175F90" w:rsidRPr="00B33993" w:rsidRDefault="00175F90" w:rsidP="001C1C94"/>
        </w:tc>
        <w:tc>
          <w:tcPr>
            <w:tcW w:w="5385" w:type="dxa"/>
          </w:tcPr>
          <w:p w14:paraId="64750DFA" w14:textId="77777777" w:rsidR="000A67B3" w:rsidRPr="00B33993" w:rsidRDefault="000A67B3" w:rsidP="00175F90">
            <w:pPr>
              <w:rPr>
                <w:rFonts w:cs="Helvetica"/>
              </w:rPr>
            </w:pPr>
            <w:r w:rsidRPr="00B33993">
              <w:rPr>
                <w:rFonts w:cs="Helvetica"/>
              </w:rPr>
              <w:t>M</w:t>
            </w:r>
            <w:r w:rsidR="00175F90" w:rsidRPr="00B33993">
              <w:rPr>
                <w:rFonts w:cs="Helvetica"/>
              </w:rPr>
              <w:t>eeting</w:t>
            </w:r>
            <w:r w:rsidRPr="00B33993">
              <w:rPr>
                <w:rFonts w:cs="Helvetica"/>
              </w:rPr>
              <w:t>s with civil servant in various government departments</w:t>
            </w:r>
          </w:p>
          <w:p w14:paraId="79A62980" w14:textId="1BA06A65" w:rsidR="000A67B3" w:rsidRPr="00B33993" w:rsidRDefault="00221BE3" w:rsidP="009B4794">
            <w:pPr>
              <w:pStyle w:val="ListParagraph"/>
              <w:numPr>
                <w:ilvl w:val="2"/>
                <w:numId w:val="4"/>
              </w:numPr>
              <w:ind w:left="458" w:hanging="427"/>
              <w:rPr>
                <w:rFonts w:cs="Helvetica"/>
              </w:rPr>
            </w:pPr>
            <w:r w:rsidRPr="004866E5">
              <w:rPr>
                <w:rFonts w:cs="Helvetica"/>
              </w:rPr>
              <w:t>12</w:t>
            </w:r>
            <w:r w:rsidR="00175F90" w:rsidRPr="00B33993">
              <w:rPr>
                <w:rFonts w:cs="Helvetica"/>
              </w:rPr>
              <w:t xml:space="preserve"> Dept</w:t>
            </w:r>
            <w:r w:rsidR="000A67B3" w:rsidRPr="00B33993">
              <w:rPr>
                <w:rFonts w:cs="Helvetica"/>
              </w:rPr>
              <w:t>.</w:t>
            </w:r>
            <w:r w:rsidR="00175F90" w:rsidRPr="00B33993">
              <w:rPr>
                <w:rFonts w:cs="Helvetica"/>
              </w:rPr>
              <w:t xml:space="preserve"> of Social Protection</w:t>
            </w:r>
            <w:r w:rsidR="003E2A72">
              <w:rPr>
                <w:rFonts w:cs="Helvetica"/>
              </w:rPr>
              <w:t xml:space="preserve"> officials</w:t>
            </w:r>
          </w:p>
          <w:p w14:paraId="7693131A" w14:textId="17527A97" w:rsidR="00175F90" w:rsidRPr="00B33993" w:rsidRDefault="00221BE3" w:rsidP="009B4794">
            <w:pPr>
              <w:pStyle w:val="ListParagraph"/>
              <w:numPr>
                <w:ilvl w:val="2"/>
                <w:numId w:val="4"/>
              </w:numPr>
              <w:ind w:left="458" w:hanging="427"/>
              <w:rPr>
                <w:rFonts w:cs="Helvetica"/>
              </w:rPr>
            </w:pPr>
            <w:r w:rsidRPr="004866E5">
              <w:rPr>
                <w:rFonts w:cs="Helvetica"/>
              </w:rPr>
              <w:t>12</w:t>
            </w:r>
            <w:r w:rsidR="000A67B3" w:rsidRPr="00B33993">
              <w:rPr>
                <w:rFonts w:cs="Helvetica"/>
              </w:rPr>
              <w:t xml:space="preserve"> Dept. of Environment</w:t>
            </w:r>
            <w:r w:rsidR="003E2A72">
              <w:rPr>
                <w:rFonts w:cs="Helvetica"/>
              </w:rPr>
              <w:t>, Community, &amp; Local Government</w:t>
            </w:r>
            <w:r w:rsidR="00E9100A">
              <w:rPr>
                <w:rFonts w:cs="Helvetica"/>
              </w:rPr>
              <w:t xml:space="preserve"> </w:t>
            </w:r>
            <w:r w:rsidR="003E2A72">
              <w:rPr>
                <w:rFonts w:cs="Helvetica"/>
              </w:rPr>
              <w:t>officials</w:t>
            </w:r>
            <w:r w:rsidR="000A67B3" w:rsidRPr="00B33993">
              <w:rPr>
                <w:rFonts w:cs="Helvetica"/>
              </w:rPr>
              <w:t xml:space="preserve">, </w:t>
            </w:r>
          </w:p>
          <w:p w14:paraId="0350B32D" w14:textId="4E9304A8" w:rsidR="000A67B3" w:rsidRPr="00B33993" w:rsidRDefault="00EA48A7" w:rsidP="009B4794">
            <w:pPr>
              <w:pStyle w:val="ListParagraph"/>
              <w:numPr>
                <w:ilvl w:val="2"/>
                <w:numId w:val="4"/>
              </w:numPr>
              <w:ind w:left="458" w:hanging="427"/>
              <w:rPr>
                <w:rFonts w:cs="Helvetica"/>
              </w:rPr>
            </w:pPr>
            <w:r>
              <w:rPr>
                <w:rFonts w:cs="DejaVuSans"/>
              </w:rPr>
              <w:t>Three</w:t>
            </w:r>
            <w:r w:rsidR="003E2A72">
              <w:rPr>
                <w:rFonts w:cs="DejaVuSans"/>
              </w:rPr>
              <w:t xml:space="preserve"> </w:t>
            </w:r>
            <w:r w:rsidR="000A67B3" w:rsidRPr="00B33993">
              <w:rPr>
                <w:rFonts w:cs="Helvetica"/>
              </w:rPr>
              <w:t xml:space="preserve">Dept. of Justice Equality and Law Reform </w:t>
            </w:r>
            <w:r w:rsidR="003E2A72">
              <w:rPr>
                <w:rFonts w:cs="Helvetica"/>
              </w:rPr>
              <w:t>officials</w:t>
            </w:r>
          </w:p>
        </w:tc>
      </w:tr>
      <w:tr w:rsidR="001C1C94" w:rsidRPr="00B33993" w14:paraId="0882EB44" w14:textId="77777777" w:rsidTr="00EE4074">
        <w:tc>
          <w:tcPr>
            <w:tcW w:w="3937" w:type="dxa"/>
          </w:tcPr>
          <w:p w14:paraId="0FB40643" w14:textId="77777777" w:rsidR="001C1C94" w:rsidRPr="00B33993" w:rsidRDefault="001C1C94" w:rsidP="001C1C94">
            <w:pPr>
              <w:autoSpaceDE w:val="0"/>
              <w:autoSpaceDN w:val="0"/>
              <w:adjustRightInd w:val="0"/>
            </w:pPr>
            <w:r w:rsidRPr="00B33993">
              <w:t>State/semi-state agencies, organisations</w:t>
            </w:r>
          </w:p>
        </w:tc>
        <w:tc>
          <w:tcPr>
            <w:tcW w:w="5385" w:type="dxa"/>
          </w:tcPr>
          <w:p w14:paraId="0860E6CD" w14:textId="77777777" w:rsidR="001C1C94" w:rsidRPr="00B33993" w:rsidRDefault="001C1C94" w:rsidP="001C1C94">
            <w:pPr>
              <w:autoSpaceDE w:val="0"/>
              <w:autoSpaceDN w:val="0"/>
              <w:adjustRightInd w:val="0"/>
              <w:rPr>
                <w:rFonts w:cs="Graphik Regular"/>
                <w:color w:val="000000"/>
              </w:rPr>
            </w:pPr>
            <w:r w:rsidRPr="00B33993">
              <w:rPr>
                <w:rFonts w:cs="Helvetica"/>
              </w:rPr>
              <w:t>Nine one to one interviews undertaken as part of the Perceptions Study</w:t>
            </w:r>
          </w:p>
        </w:tc>
      </w:tr>
      <w:tr w:rsidR="001C1C94" w:rsidRPr="00B33993" w14:paraId="34DD8D9B" w14:textId="77777777" w:rsidTr="00EE4074">
        <w:tc>
          <w:tcPr>
            <w:tcW w:w="3937" w:type="dxa"/>
          </w:tcPr>
          <w:p w14:paraId="21884A4D" w14:textId="77777777" w:rsidR="001C1C94" w:rsidRPr="00B33993" w:rsidRDefault="001C1C94" w:rsidP="001C1C94">
            <w:r w:rsidRPr="00B33993">
              <w:t>The media</w:t>
            </w:r>
          </w:p>
        </w:tc>
        <w:tc>
          <w:tcPr>
            <w:tcW w:w="5385" w:type="dxa"/>
          </w:tcPr>
          <w:p w14:paraId="0497211A" w14:textId="253ABA18" w:rsidR="001C1C94" w:rsidRPr="00B33993" w:rsidRDefault="001C1C94" w:rsidP="000A67B3">
            <w:r w:rsidRPr="00B33993">
              <w:t xml:space="preserve">Roundtable attended by </w:t>
            </w:r>
            <w:r w:rsidR="00EA48A7">
              <w:t>six</w:t>
            </w:r>
            <w:r w:rsidRPr="00B33993">
              <w:t xml:space="preserve"> people from the media to discuss media perceptions of the non-profit sector and explore how to improve relations between the two sectors for the benefit of both. </w:t>
            </w:r>
          </w:p>
        </w:tc>
      </w:tr>
      <w:tr w:rsidR="001C1C94" w:rsidRPr="00B33993" w14:paraId="2F0EC2B4" w14:textId="77777777" w:rsidTr="00EE4074">
        <w:tc>
          <w:tcPr>
            <w:tcW w:w="3937" w:type="dxa"/>
          </w:tcPr>
          <w:p w14:paraId="328E3EC3" w14:textId="77777777" w:rsidR="001C1C94" w:rsidRPr="00B33993" w:rsidRDefault="001C1C94" w:rsidP="001C1C94">
            <w:r w:rsidRPr="00B33993">
              <w:t>Trade Unions</w:t>
            </w:r>
          </w:p>
        </w:tc>
        <w:tc>
          <w:tcPr>
            <w:tcW w:w="5385" w:type="dxa"/>
          </w:tcPr>
          <w:p w14:paraId="160A954F" w14:textId="440A7CD2" w:rsidR="001C1C94" w:rsidRPr="00B33993" w:rsidRDefault="00EA48A7" w:rsidP="000A67B3">
            <w:pPr>
              <w:autoSpaceDE w:val="0"/>
              <w:autoSpaceDN w:val="0"/>
              <w:adjustRightInd w:val="0"/>
              <w:rPr>
                <w:rFonts w:cs="Helvetica"/>
              </w:rPr>
            </w:pPr>
            <w:r>
              <w:rPr>
                <w:rFonts w:cs="Helvetica"/>
              </w:rPr>
              <w:t>Four</w:t>
            </w:r>
            <w:r w:rsidR="001C1C94" w:rsidRPr="00B33993">
              <w:rPr>
                <w:rFonts w:cs="Helvetica"/>
              </w:rPr>
              <w:t xml:space="preserve"> one to one interviews with trade union officials. </w:t>
            </w:r>
          </w:p>
        </w:tc>
      </w:tr>
      <w:tr w:rsidR="001C1C94" w:rsidRPr="00B33993" w14:paraId="74E31B25" w14:textId="77777777" w:rsidTr="00EE4074">
        <w:tc>
          <w:tcPr>
            <w:tcW w:w="3937" w:type="dxa"/>
          </w:tcPr>
          <w:p w14:paraId="64504669" w14:textId="77777777" w:rsidR="001C1C94" w:rsidRPr="00B33993" w:rsidRDefault="001C1C94" w:rsidP="001C1C94">
            <w:r w:rsidRPr="00B33993">
              <w:t>Experts/Advisors/Academics/Researchers for political parties</w:t>
            </w:r>
          </w:p>
        </w:tc>
        <w:tc>
          <w:tcPr>
            <w:tcW w:w="5385" w:type="dxa"/>
          </w:tcPr>
          <w:p w14:paraId="76AA0DDF" w14:textId="01FAAC9E" w:rsidR="001C1C94" w:rsidRPr="00B33993" w:rsidRDefault="001C1C94" w:rsidP="001C1C94">
            <w:r w:rsidRPr="00B33993">
              <w:rPr>
                <w:rFonts w:cs="Helvetica"/>
              </w:rPr>
              <w:t>Five one</w:t>
            </w:r>
            <w:r w:rsidR="00EA48A7">
              <w:rPr>
                <w:rFonts w:cs="Helvetica"/>
              </w:rPr>
              <w:t>-</w:t>
            </w:r>
            <w:r w:rsidRPr="00B33993">
              <w:rPr>
                <w:rFonts w:cs="Helvetica"/>
              </w:rPr>
              <w:t>to</w:t>
            </w:r>
            <w:r w:rsidR="00EA48A7">
              <w:rPr>
                <w:rFonts w:cs="Helvetica"/>
              </w:rPr>
              <w:t>-</w:t>
            </w:r>
            <w:r w:rsidRPr="00B33993">
              <w:rPr>
                <w:rFonts w:cs="Helvetica"/>
              </w:rPr>
              <w:t>one interviews undertaken as part of the Perceptions Study</w:t>
            </w:r>
          </w:p>
        </w:tc>
      </w:tr>
      <w:tr w:rsidR="003E2A72" w:rsidRPr="00B33993" w14:paraId="4DBAB3CB" w14:textId="77777777" w:rsidTr="00EE4074">
        <w:tc>
          <w:tcPr>
            <w:tcW w:w="3937" w:type="dxa"/>
            <w:vMerge w:val="restart"/>
          </w:tcPr>
          <w:p w14:paraId="47955373" w14:textId="77777777" w:rsidR="003E2A72" w:rsidRPr="00B33993" w:rsidRDefault="003E2A72" w:rsidP="001C1C94">
            <w:r w:rsidRPr="00B33993">
              <w:t>The community and voluntary sector</w:t>
            </w:r>
          </w:p>
        </w:tc>
        <w:tc>
          <w:tcPr>
            <w:tcW w:w="5385" w:type="dxa"/>
          </w:tcPr>
          <w:p w14:paraId="46AF4A1A" w14:textId="2B028FB7" w:rsidR="003E2A72" w:rsidRPr="00B33993" w:rsidRDefault="003E2A72" w:rsidP="00EE6F20">
            <w:pPr>
              <w:rPr>
                <w:rFonts w:cs="Helvetica"/>
              </w:rPr>
            </w:pPr>
            <w:r w:rsidRPr="00B33993">
              <w:rPr>
                <w:rFonts w:cs="Helvetica"/>
              </w:rPr>
              <w:t>500 registered to attend the various five knowledge fora held to date (March 2014)</w:t>
            </w:r>
            <w:r w:rsidR="00EA48A7">
              <w:rPr>
                <w:rFonts w:cs="Helvetica"/>
              </w:rPr>
              <w:t xml:space="preserve"> </w:t>
            </w:r>
            <w:r w:rsidR="00EA48A7">
              <w:t>(</w:t>
            </w:r>
            <w:r w:rsidR="00EA48A7" w:rsidRPr="00A345DE">
              <w:rPr>
                <w:rFonts w:cs="Calibri"/>
                <w:color w:val="000000"/>
              </w:rPr>
              <w:t>TBC</w:t>
            </w:r>
            <w:r w:rsidR="00EA48A7">
              <w:rPr>
                <w:rFonts w:cs="Calibri"/>
                <w:color w:val="000000"/>
              </w:rPr>
              <w:t>)</w:t>
            </w:r>
          </w:p>
        </w:tc>
      </w:tr>
      <w:tr w:rsidR="003E2A72" w:rsidRPr="00B33993" w14:paraId="329FCC1C" w14:textId="77777777" w:rsidTr="00EE4074">
        <w:tc>
          <w:tcPr>
            <w:tcW w:w="3937" w:type="dxa"/>
            <w:vMerge/>
          </w:tcPr>
          <w:p w14:paraId="0E903F40" w14:textId="77777777" w:rsidR="003E2A72" w:rsidRPr="00B33993" w:rsidRDefault="003E2A72" w:rsidP="001C1C94"/>
        </w:tc>
        <w:tc>
          <w:tcPr>
            <w:tcW w:w="5385" w:type="dxa"/>
          </w:tcPr>
          <w:p w14:paraId="4ED73F2F" w14:textId="45C485F8" w:rsidR="003E2A72" w:rsidRPr="00B33993" w:rsidRDefault="003E2A72" w:rsidP="002A69EC">
            <w:pPr>
              <w:rPr>
                <w:rFonts w:cs="Helvetica"/>
              </w:rPr>
            </w:pPr>
            <w:r w:rsidRPr="00B33993">
              <w:rPr>
                <w:rFonts w:cs="Helvetica"/>
              </w:rPr>
              <w:t>There have been</w:t>
            </w:r>
            <w:r w:rsidR="00221BE3">
              <w:rPr>
                <w:rFonts w:cs="Helvetica"/>
              </w:rPr>
              <w:t xml:space="preserve"> 15</w:t>
            </w:r>
            <w:r w:rsidRPr="00B33993">
              <w:rPr>
                <w:rFonts w:cs="Helvetica"/>
              </w:rPr>
              <w:t xml:space="preserve"> meetings of the Steering </w:t>
            </w:r>
            <w:r w:rsidR="002A69EC">
              <w:rPr>
                <w:rFonts w:cs="Helvetica"/>
              </w:rPr>
              <w:t xml:space="preserve">Committee </w:t>
            </w:r>
            <w:r w:rsidRPr="00B33993">
              <w:rPr>
                <w:rFonts w:cs="Helvetica"/>
              </w:rPr>
              <w:t xml:space="preserve">with an average attendance of </w:t>
            </w:r>
            <w:r w:rsidR="00221BE3" w:rsidRPr="004866E5">
              <w:rPr>
                <w:rFonts w:cs="Helvetica"/>
              </w:rPr>
              <w:t>12</w:t>
            </w:r>
            <w:r w:rsidRPr="00B33993">
              <w:rPr>
                <w:rFonts w:cs="Helvetica"/>
              </w:rPr>
              <w:t xml:space="preserve"> individuals at each meeting</w:t>
            </w:r>
          </w:p>
        </w:tc>
      </w:tr>
      <w:tr w:rsidR="003E2A72" w:rsidRPr="00B33993" w14:paraId="1E0A7E87" w14:textId="77777777" w:rsidTr="00EE4074">
        <w:tc>
          <w:tcPr>
            <w:tcW w:w="3937" w:type="dxa"/>
            <w:vMerge/>
          </w:tcPr>
          <w:p w14:paraId="37662670" w14:textId="77777777" w:rsidR="003E2A72" w:rsidRPr="00B33993" w:rsidRDefault="003E2A72" w:rsidP="001C1C94"/>
        </w:tc>
        <w:tc>
          <w:tcPr>
            <w:tcW w:w="5385" w:type="dxa"/>
          </w:tcPr>
          <w:p w14:paraId="64DD6F7A" w14:textId="06F198F7" w:rsidR="003E2A72" w:rsidRPr="00B33993" w:rsidRDefault="003E2A72" w:rsidP="001C1C94">
            <w:pPr>
              <w:rPr>
                <w:rFonts w:cs="Helvetica"/>
              </w:rPr>
            </w:pPr>
            <w:r w:rsidRPr="00B33993">
              <w:rPr>
                <w:rFonts w:cs="Helvetica"/>
              </w:rPr>
              <w:t xml:space="preserve">There have been </w:t>
            </w:r>
            <w:r w:rsidR="00221BE3" w:rsidRPr="004866E5">
              <w:rPr>
                <w:rFonts w:cs="Helvetica"/>
              </w:rPr>
              <w:t>27</w:t>
            </w:r>
            <w:r w:rsidRPr="00B33993">
              <w:rPr>
                <w:rFonts w:cs="Helvetica"/>
              </w:rPr>
              <w:t xml:space="preserve"> meetings of the Project Management Group with an average attendance of </w:t>
            </w:r>
            <w:r w:rsidR="00221BE3" w:rsidRPr="004866E5">
              <w:rPr>
                <w:rFonts w:cs="Helvetica"/>
              </w:rPr>
              <w:t>5</w:t>
            </w:r>
            <w:r w:rsidRPr="00B33993">
              <w:rPr>
                <w:rFonts w:cs="Helvetica"/>
              </w:rPr>
              <w:t xml:space="preserve"> individuals at each meeting</w:t>
            </w:r>
          </w:p>
        </w:tc>
      </w:tr>
      <w:tr w:rsidR="003E2A72" w:rsidRPr="00B33993" w14:paraId="30F7B6BF" w14:textId="77777777" w:rsidTr="00EE4074">
        <w:tc>
          <w:tcPr>
            <w:tcW w:w="3937" w:type="dxa"/>
            <w:vMerge/>
          </w:tcPr>
          <w:p w14:paraId="13A4C767" w14:textId="77777777" w:rsidR="003E2A72" w:rsidRPr="00B33993" w:rsidRDefault="003E2A72" w:rsidP="001C1C94"/>
        </w:tc>
        <w:tc>
          <w:tcPr>
            <w:tcW w:w="5385" w:type="dxa"/>
          </w:tcPr>
          <w:p w14:paraId="33828366" w14:textId="3D672A02" w:rsidR="003E2A72" w:rsidRPr="00B33993" w:rsidRDefault="003E2A72" w:rsidP="001C1C94">
            <w:pPr>
              <w:rPr>
                <w:rFonts w:cs="Helvetica"/>
              </w:rPr>
            </w:pPr>
            <w:r>
              <w:rPr>
                <w:rFonts w:cs="Helvetica"/>
              </w:rPr>
              <w:t>170</w:t>
            </w:r>
            <w:r w:rsidRPr="00B33993">
              <w:rPr>
                <w:rFonts w:cs="Helvetica"/>
              </w:rPr>
              <w:t xml:space="preserve"> community and voluntary organisations participated in the initial project research</w:t>
            </w:r>
            <w:r>
              <w:rPr>
                <w:rFonts w:cs="Helvetica"/>
              </w:rPr>
              <w:t xml:space="preserve"> survey</w:t>
            </w:r>
          </w:p>
        </w:tc>
      </w:tr>
      <w:tr w:rsidR="003E2A72" w:rsidRPr="00B33993" w14:paraId="3D789C8F" w14:textId="77777777" w:rsidTr="00EE4074">
        <w:tc>
          <w:tcPr>
            <w:tcW w:w="3937" w:type="dxa"/>
            <w:vMerge/>
          </w:tcPr>
          <w:p w14:paraId="2A2A9D4C" w14:textId="77777777" w:rsidR="003E2A72" w:rsidRPr="00B33993" w:rsidRDefault="003E2A72" w:rsidP="001C1C94"/>
        </w:tc>
        <w:tc>
          <w:tcPr>
            <w:tcW w:w="5385" w:type="dxa"/>
          </w:tcPr>
          <w:p w14:paraId="3FE13344" w14:textId="4A8A29EF" w:rsidR="003E2A72" w:rsidRPr="00B33993" w:rsidRDefault="003E2A72" w:rsidP="00E71C9C">
            <w:pPr>
              <w:rPr>
                <w:rFonts w:cs="Helvetica"/>
              </w:rPr>
            </w:pPr>
            <w:r>
              <w:rPr>
                <w:rFonts w:cs="Helvetica"/>
              </w:rPr>
              <w:t>288</w:t>
            </w:r>
            <w:r w:rsidRPr="00B33993">
              <w:rPr>
                <w:rFonts w:cs="Helvetica"/>
              </w:rPr>
              <w:t xml:space="preserve"> community and voluntary organisations participated in the mapping study</w:t>
            </w:r>
          </w:p>
        </w:tc>
      </w:tr>
      <w:tr w:rsidR="003E2A72" w:rsidRPr="00B33993" w14:paraId="199FB920" w14:textId="77777777" w:rsidTr="00EE4074">
        <w:tc>
          <w:tcPr>
            <w:tcW w:w="3937" w:type="dxa"/>
            <w:vMerge/>
          </w:tcPr>
          <w:p w14:paraId="571AE028" w14:textId="77777777" w:rsidR="003E2A72" w:rsidRPr="00B33993" w:rsidRDefault="003E2A72" w:rsidP="001C1C94"/>
        </w:tc>
        <w:tc>
          <w:tcPr>
            <w:tcW w:w="5385" w:type="dxa"/>
          </w:tcPr>
          <w:p w14:paraId="3D163FF0" w14:textId="699BF29A" w:rsidR="003E2A72" w:rsidRPr="00B33993" w:rsidRDefault="00B53BEC" w:rsidP="00E71C9C">
            <w:pPr>
              <w:rPr>
                <w:rFonts w:cs="Helvetica"/>
              </w:rPr>
            </w:pPr>
            <w:r>
              <w:rPr>
                <w:rFonts w:cs="Helvetica"/>
              </w:rPr>
              <w:t>123</w:t>
            </w:r>
            <w:r w:rsidR="003E2A72" w:rsidRPr="00B33993">
              <w:rPr>
                <w:rFonts w:cs="Helvetica"/>
              </w:rPr>
              <w:t xml:space="preserve"> community and voluntary organisations participated in the funding studies</w:t>
            </w:r>
          </w:p>
        </w:tc>
      </w:tr>
      <w:tr w:rsidR="003E2A72" w:rsidRPr="00B33993" w14:paraId="30FB8587" w14:textId="77777777" w:rsidTr="00EE6F20">
        <w:tc>
          <w:tcPr>
            <w:tcW w:w="3937" w:type="dxa"/>
            <w:vMerge/>
          </w:tcPr>
          <w:p w14:paraId="1F8DB96C" w14:textId="77777777" w:rsidR="003E2A72" w:rsidRPr="00B33993" w:rsidRDefault="003E2A72" w:rsidP="007735CD"/>
        </w:tc>
        <w:tc>
          <w:tcPr>
            <w:tcW w:w="5385" w:type="dxa"/>
          </w:tcPr>
          <w:p w14:paraId="1B0F31F0" w14:textId="660DB5E7" w:rsidR="003E2A72" w:rsidRPr="00B33993" w:rsidRDefault="003E2A72" w:rsidP="00EA48A7">
            <w:r w:rsidRPr="00B33993">
              <w:t xml:space="preserve">Workshop with 11 community activists </w:t>
            </w:r>
            <w:r w:rsidR="00221BE3">
              <w:t xml:space="preserve">who have experience of poverty and exclusion </w:t>
            </w:r>
            <w:r w:rsidRPr="00B33993">
              <w:t>(June 2013)</w:t>
            </w:r>
          </w:p>
        </w:tc>
      </w:tr>
      <w:tr w:rsidR="003E2A72" w:rsidRPr="00B33993" w14:paraId="3BD7576F" w14:textId="77777777" w:rsidTr="00EE6F20">
        <w:tc>
          <w:tcPr>
            <w:tcW w:w="3937" w:type="dxa"/>
            <w:vMerge/>
          </w:tcPr>
          <w:p w14:paraId="3C3E4E81" w14:textId="77777777" w:rsidR="003E2A72" w:rsidRPr="00B33993" w:rsidRDefault="003E2A72" w:rsidP="007735CD"/>
        </w:tc>
        <w:tc>
          <w:tcPr>
            <w:tcW w:w="5385" w:type="dxa"/>
          </w:tcPr>
          <w:p w14:paraId="3D568920" w14:textId="67BCD55A" w:rsidR="003E2A72" w:rsidRPr="00B33993" w:rsidRDefault="003E2A72" w:rsidP="00EE6F20">
            <w:r w:rsidRPr="00B33993">
              <w:t>Seven social justice advocates involved in the perceptions study</w:t>
            </w:r>
            <w:r w:rsidR="00221BE3">
              <w:t xml:space="preserve"> as participant researchers</w:t>
            </w:r>
          </w:p>
        </w:tc>
      </w:tr>
      <w:tr w:rsidR="00EE6F20" w:rsidRPr="00B33993" w14:paraId="0F9976A3" w14:textId="77777777" w:rsidTr="00EE6F20">
        <w:tc>
          <w:tcPr>
            <w:tcW w:w="3937" w:type="dxa"/>
          </w:tcPr>
          <w:p w14:paraId="45D26B20" w14:textId="77777777" w:rsidR="00EE6F20" w:rsidRPr="00B33993" w:rsidRDefault="00EE6F20" w:rsidP="007735CD">
            <w:r w:rsidRPr="00B33993">
              <w:t>General public</w:t>
            </w:r>
          </w:p>
        </w:tc>
        <w:tc>
          <w:tcPr>
            <w:tcW w:w="5385" w:type="dxa"/>
          </w:tcPr>
          <w:p w14:paraId="346486F0" w14:textId="5251D5A8" w:rsidR="00EE6F20" w:rsidRPr="00B33993" w:rsidRDefault="00EE6F20" w:rsidP="00791C0C">
            <w:pPr>
              <w:rPr>
                <w:rFonts w:ascii="HelveticaNeue" w:hAnsi="HelveticaNeue" w:cs="HelveticaNeue"/>
              </w:rPr>
            </w:pPr>
            <w:r w:rsidRPr="00B33993">
              <w:t>Online survey</w:t>
            </w:r>
            <w:r w:rsidR="00791C0C" w:rsidRPr="00B33993">
              <w:t xml:space="preserve"> of</w:t>
            </w:r>
            <w:r w:rsidRPr="00B33993">
              <w:t xml:space="preserve"> 1,436 respondents in Nov 2012 and </w:t>
            </w:r>
            <w:r w:rsidR="00791C0C" w:rsidRPr="00B33993">
              <w:t xml:space="preserve">a further </w:t>
            </w:r>
            <w:r w:rsidRPr="00B33993">
              <w:t>1,408</w:t>
            </w:r>
            <w:r w:rsidR="00791C0C" w:rsidRPr="00B33993">
              <w:t xml:space="preserve"> in June</w:t>
            </w:r>
            <w:r w:rsidR="00221BE3">
              <w:t xml:space="preserve"> </w:t>
            </w:r>
            <w:r w:rsidRPr="00B33993">
              <w:t>2013</w:t>
            </w:r>
            <w:r w:rsidR="00791C0C" w:rsidRPr="00B33993">
              <w:t xml:space="preserve">. All were over the age of 16 and the survey was balanced to </w:t>
            </w:r>
            <w:r w:rsidRPr="00B33993">
              <w:t>refle</w:t>
            </w:r>
            <w:r w:rsidR="00791C0C" w:rsidRPr="00B33993">
              <w:t xml:space="preserve">ct the diversity in </w:t>
            </w:r>
            <w:r w:rsidR="00791C0C" w:rsidRPr="00B33993">
              <w:lastRenderedPageBreak/>
              <w:t xml:space="preserve">the general </w:t>
            </w:r>
            <w:r w:rsidRPr="00B33993">
              <w:t>p</w:t>
            </w:r>
            <w:r w:rsidR="00791C0C" w:rsidRPr="00B33993">
              <w:t xml:space="preserve">opulation including age, gender </w:t>
            </w:r>
            <w:r w:rsidRPr="00B33993">
              <w:t>and socioeconomic status.</w:t>
            </w:r>
          </w:p>
        </w:tc>
      </w:tr>
    </w:tbl>
    <w:p w14:paraId="7DBF9319" w14:textId="77777777" w:rsidR="0023078B" w:rsidRDefault="0023078B" w:rsidP="001C1C94">
      <w:pPr>
        <w:spacing w:line="240" w:lineRule="auto"/>
        <w:rPr>
          <w:color w:val="7030A0"/>
        </w:rPr>
      </w:pPr>
    </w:p>
    <w:p w14:paraId="03E42246" w14:textId="3707660E" w:rsidR="00427818" w:rsidRDefault="00427818" w:rsidP="00427818">
      <w:pPr>
        <w:pStyle w:val="PlainText"/>
      </w:pPr>
      <w:r>
        <w:t xml:space="preserve">The Initiative also sought out and availed of other opportunities to engage with diverse audiences, (including the wider community and voluntary sector, policy-makers, academic, funders, and more general audiences) and gave over 20 external presentations, primarily to Irish audiences, but also to international and European audiences. </w:t>
      </w:r>
    </w:p>
    <w:p w14:paraId="1570B821" w14:textId="77777777" w:rsidR="0023078B" w:rsidRDefault="0023078B" w:rsidP="001C1C94">
      <w:pPr>
        <w:spacing w:line="240" w:lineRule="auto"/>
      </w:pPr>
    </w:p>
    <w:p w14:paraId="128C209E" w14:textId="3560293B" w:rsidR="009A056D" w:rsidRDefault="00B9697E" w:rsidP="00421D6A">
      <w:pPr>
        <w:pStyle w:val="Heading2"/>
      </w:pPr>
      <w:bookmarkStart w:id="34" w:name="_Toc394492950"/>
      <w:bookmarkStart w:id="35" w:name="_Toc394493484"/>
      <w:r>
        <w:t>2.1</w:t>
      </w:r>
      <w:r w:rsidR="00F5687F">
        <w:t>2</w:t>
      </w:r>
      <w:r w:rsidR="009A056D" w:rsidRPr="009A056D">
        <w:t xml:space="preserve"> Evaluation</w:t>
      </w:r>
      <w:bookmarkEnd w:id="34"/>
      <w:bookmarkEnd w:id="35"/>
    </w:p>
    <w:p w14:paraId="1A8EE658" w14:textId="066280D8" w:rsidR="00C22274" w:rsidRDefault="009A056D" w:rsidP="00AD031A">
      <w:pPr>
        <w:autoSpaceDE w:val="0"/>
        <w:autoSpaceDN w:val="0"/>
        <w:adjustRightInd w:val="0"/>
        <w:spacing w:after="0" w:line="240" w:lineRule="auto"/>
      </w:pPr>
      <w:r w:rsidRPr="00321AAD">
        <w:t>Following a competitive tendering process c</w:t>
      </w:r>
      <w:r w:rsidR="00B834A4">
        <w:t xml:space="preserve">onducted in Autumn/Winter 2011 we appointed </w:t>
      </w:r>
      <w:r w:rsidRPr="00321AAD">
        <w:t xml:space="preserve">Nexus Research </w:t>
      </w:r>
      <w:r w:rsidR="00321AAD">
        <w:t xml:space="preserve">Cooperative </w:t>
      </w:r>
      <w:r w:rsidRPr="00321AAD">
        <w:t>to design the evaluation framework and to deliver the interim and final evaluation report.</w:t>
      </w:r>
      <w:r w:rsidR="00321AAD">
        <w:t xml:space="preserve"> </w:t>
      </w:r>
      <w:r w:rsidR="00937253">
        <w:t xml:space="preserve"> A decision was subsequently made to use the Theory of Change Model as the evaluative framework.</w:t>
      </w:r>
      <w:r w:rsidR="00176AAD">
        <w:t xml:space="preserve"> </w:t>
      </w:r>
      <w:r w:rsidR="003157D6">
        <w:t xml:space="preserve">This framework began with </w:t>
      </w:r>
      <w:r w:rsidR="00B834A4">
        <w:t xml:space="preserve">our </w:t>
      </w:r>
      <w:r w:rsidR="003157D6">
        <w:t>long term objecti</w:t>
      </w:r>
      <w:r w:rsidR="00B834A4">
        <w:t>ve</w:t>
      </w:r>
      <w:r w:rsidR="00EA48A7">
        <w:t>s</w:t>
      </w:r>
      <w:r w:rsidR="00B834A4">
        <w:t xml:space="preserve">, </w:t>
      </w:r>
      <w:r w:rsidR="001E41EA">
        <w:t>working</w:t>
      </w:r>
      <w:r w:rsidR="003157D6">
        <w:t xml:space="preserve"> down through the various preconditions and ultimately the interventions required </w:t>
      </w:r>
      <w:proofErr w:type="gramStart"/>
      <w:r w:rsidR="003157D6">
        <w:t>to lead</w:t>
      </w:r>
      <w:proofErr w:type="gramEnd"/>
      <w:r w:rsidR="003157D6">
        <w:t xml:space="preserve"> the outcomes</w:t>
      </w:r>
      <w:r w:rsidR="00EA48A7">
        <w:t xml:space="preserve"> (f</w:t>
      </w:r>
      <w:r w:rsidR="00176AAD">
        <w:t>or further information on the Theory</w:t>
      </w:r>
      <w:r w:rsidR="00176AAD" w:rsidRPr="00176AAD">
        <w:t xml:space="preserve"> of Change </w:t>
      </w:r>
      <w:r w:rsidR="00176AAD">
        <w:t xml:space="preserve">go to </w:t>
      </w:r>
      <w:hyperlink r:id="rId13" w:history="1">
        <w:r w:rsidR="00B52C2C" w:rsidRPr="00B52C2C">
          <w:rPr>
            <w:rStyle w:val="Hyperlink"/>
          </w:rPr>
          <w:t>http://www.theoryofchange.org/what-is-theory-of-change</w:t>
        </w:r>
      </w:hyperlink>
      <w:r w:rsidR="00176AAD">
        <w:t>)</w:t>
      </w:r>
      <w:r w:rsidR="00EA48A7">
        <w:t>.</w:t>
      </w:r>
      <w:r w:rsidR="00176AAD">
        <w:t xml:space="preserve">  </w:t>
      </w:r>
    </w:p>
    <w:p w14:paraId="75A5C5C3" w14:textId="77777777" w:rsidR="00AD031A" w:rsidRDefault="00AD031A" w:rsidP="00AD031A">
      <w:pPr>
        <w:autoSpaceDE w:val="0"/>
        <w:autoSpaceDN w:val="0"/>
        <w:adjustRightInd w:val="0"/>
        <w:spacing w:after="0" w:line="240" w:lineRule="auto"/>
      </w:pPr>
    </w:p>
    <w:p w14:paraId="772777BC" w14:textId="1DD03A65" w:rsidR="00C22274" w:rsidRDefault="00C22274" w:rsidP="009A056D">
      <w:pPr>
        <w:autoSpaceDE w:val="0"/>
        <w:autoSpaceDN w:val="0"/>
        <w:adjustRightInd w:val="0"/>
        <w:spacing w:after="0" w:line="240" w:lineRule="auto"/>
      </w:pPr>
      <w:r>
        <w:t>The interim evaluation (finalised in July 2013) explored how the practice of change happened relative to the how the original theory of change was expected to happen.</w:t>
      </w:r>
      <w:r w:rsidR="00FB6D92">
        <w:t xml:space="preserve">  It concluded that while it was unlikely that significant changes could be brought about during the lifetime of </w:t>
      </w:r>
      <w:r w:rsidR="00B52C2C">
        <w:t>T</w:t>
      </w:r>
      <w:r w:rsidR="00FB6D92">
        <w:t>he Advocacy Initiative</w:t>
      </w:r>
      <w:r w:rsidR="00090BE7">
        <w:t xml:space="preserve"> (barring a</w:t>
      </w:r>
      <w:r w:rsidR="00FB6D92">
        <w:t xml:space="preserve"> major unanticipated event/s)</w:t>
      </w:r>
      <w:r w:rsidR="00090BE7">
        <w:t xml:space="preserve"> the instability of the relationship between the community and voluntary sector and the state should be seen as an opportunity in terms of the application and use ‘insider’ and ‘outsider</w:t>
      </w:r>
      <w:r w:rsidR="00EA48A7">
        <w:t>’</w:t>
      </w:r>
      <w:r w:rsidR="00090BE7">
        <w:t xml:space="preserve"> approaches.</w:t>
      </w:r>
    </w:p>
    <w:p w14:paraId="40296939" w14:textId="77777777" w:rsidR="004363B8" w:rsidRDefault="004363B8" w:rsidP="009A056D">
      <w:pPr>
        <w:autoSpaceDE w:val="0"/>
        <w:autoSpaceDN w:val="0"/>
        <w:adjustRightInd w:val="0"/>
        <w:spacing w:after="0" w:line="240" w:lineRule="auto"/>
      </w:pPr>
    </w:p>
    <w:p w14:paraId="0FB6885A" w14:textId="7984835F" w:rsidR="004363B8" w:rsidRDefault="004363B8" w:rsidP="009A056D">
      <w:pPr>
        <w:autoSpaceDE w:val="0"/>
        <w:autoSpaceDN w:val="0"/>
        <w:adjustRightInd w:val="0"/>
        <w:spacing w:after="0" w:line="240" w:lineRule="auto"/>
      </w:pPr>
      <w:r>
        <w:t xml:space="preserve">The interim evaluation also identified a number of learning points arising from the work of the </w:t>
      </w:r>
      <w:r w:rsidR="00221BE3">
        <w:t>I</w:t>
      </w:r>
      <w:r>
        <w:t>nitiative to date as follows:</w:t>
      </w:r>
    </w:p>
    <w:p w14:paraId="68999399" w14:textId="585CF487" w:rsidR="004363B8" w:rsidRDefault="004363B8" w:rsidP="009B4794">
      <w:pPr>
        <w:pStyle w:val="ListParagraph"/>
        <w:numPr>
          <w:ilvl w:val="2"/>
          <w:numId w:val="4"/>
        </w:numPr>
        <w:autoSpaceDE w:val="0"/>
        <w:autoSpaceDN w:val="0"/>
        <w:adjustRightInd w:val="0"/>
        <w:spacing w:after="0" w:line="240" w:lineRule="auto"/>
        <w:ind w:left="851"/>
      </w:pPr>
      <w:r>
        <w:t xml:space="preserve">The various research studies undertaken for </w:t>
      </w:r>
      <w:r w:rsidR="00B52C2C">
        <w:t>T</w:t>
      </w:r>
      <w:r>
        <w:t xml:space="preserve">he Advocacy Initiative had </w:t>
      </w:r>
      <w:r w:rsidR="00946DE9">
        <w:t xml:space="preserve">generated useful insights in relation to how the community and </w:t>
      </w:r>
      <w:r w:rsidR="003A5291">
        <w:t>voluntary</w:t>
      </w:r>
      <w:r w:rsidR="00946DE9">
        <w:t xml:space="preserve"> sector and its social justice advocacy work were perceived by the sector and by others.</w:t>
      </w:r>
    </w:p>
    <w:p w14:paraId="66C0498B" w14:textId="77777777" w:rsidR="00571823" w:rsidRDefault="003A5291" w:rsidP="009B4794">
      <w:pPr>
        <w:pStyle w:val="ListParagraph"/>
        <w:numPr>
          <w:ilvl w:val="2"/>
          <w:numId w:val="4"/>
        </w:numPr>
        <w:autoSpaceDE w:val="0"/>
        <w:autoSpaceDN w:val="0"/>
        <w:adjustRightInd w:val="0"/>
        <w:spacing w:after="0" w:line="240" w:lineRule="auto"/>
        <w:ind w:left="851"/>
      </w:pPr>
      <w:r>
        <w:t xml:space="preserve">The Knowledge Exchange </w:t>
      </w:r>
      <w:r w:rsidR="00571823">
        <w:t xml:space="preserve">Fora </w:t>
      </w:r>
      <w:r w:rsidR="00571823" w:rsidRPr="00571823">
        <w:t>provided</w:t>
      </w:r>
      <w:r w:rsidR="00571823">
        <w:t xml:space="preserve"> </w:t>
      </w:r>
      <w:r w:rsidR="00571823" w:rsidRPr="00571823">
        <w:t>an</w:t>
      </w:r>
      <w:r w:rsidR="00571823">
        <w:t xml:space="preserve"> </w:t>
      </w:r>
      <w:r w:rsidR="00571823" w:rsidRPr="00571823">
        <w:t>important</w:t>
      </w:r>
      <w:r w:rsidR="00571823">
        <w:t xml:space="preserve"> </w:t>
      </w:r>
      <w:r w:rsidR="00571823" w:rsidRPr="00571823">
        <w:t>space</w:t>
      </w:r>
      <w:r w:rsidR="00571823">
        <w:t xml:space="preserve"> </w:t>
      </w:r>
      <w:r w:rsidR="00571823" w:rsidRPr="00571823">
        <w:t>where</w:t>
      </w:r>
      <w:r w:rsidR="00571823">
        <w:t xml:space="preserve"> </w:t>
      </w:r>
      <w:r w:rsidR="00571823" w:rsidRPr="00571823">
        <w:t>social</w:t>
      </w:r>
      <w:r w:rsidR="00571823">
        <w:t xml:space="preserve"> </w:t>
      </w:r>
      <w:r w:rsidR="00571823" w:rsidRPr="00571823">
        <w:t>justice</w:t>
      </w:r>
      <w:r w:rsidR="00571823">
        <w:t xml:space="preserve"> </w:t>
      </w:r>
      <w:r w:rsidR="00571823" w:rsidRPr="00571823">
        <w:t>advocacy</w:t>
      </w:r>
      <w:r w:rsidR="00571823">
        <w:t xml:space="preserve"> </w:t>
      </w:r>
      <w:r w:rsidR="00571823" w:rsidRPr="00571823">
        <w:t>actors</w:t>
      </w:r>
      <w:r w:rsidR="00571823">
        <w:t xml:space="preserve"> </w:t>
      </w:r>
      <w:r w:rsidR="00571823" w:rsidRPr="00571823">
        <w:t>could</w:t>
      </w:r>
      <w:r w:rsidR="00571823">
        <w:t xml:space="preserve"> </w:t>
      </w:r>
      <w:r w:rsidR="00571823" w:rsidRPr="00571823">
        <w:t>come</w:t>
      </w:r>
      <w:r w:rsidR="00571823">
        <w:t xml:space="preserve"> </w:t>
      </w:r>
      <w:r w:rsidR="00571823" w:rsidRPr="00571823">
        <w:t xml:space="preserve">together. </w:t>
      </w:r>
    </w:p>
    <w:p w14:paraId="79D24816" w14:textId="77777777" w:rsidR="003A5291" w:rsidRPr="00571823" w:rsidRDefault="00571823" w:rsidP="009B4794">
      <w:pPr>
        <w:pStyle w:val="ListParagraph"/>
        <w:numPr>
          <w:ilvl w:val="2"/>
          <w:numId w:val="4"/>
        </w:numPr>
        <w:autoSpaceDE w:val="0"/>
        <w:autoSpaceDN w:val="0"/>
        <w:adjustRightInd w:val="0"/>
        <w:spacing w:after="0" w:line="240" w:lineRule="auto"/>
        <w:ind w:left="851"/>
      </w:pPr>
      <w:r>
        <w:t>Social justice advocacy organisations should develop their self-</w:t>
      </w:r>
      <w:r w:rsidRPr="004363B8">
        <w:t>critical capacity to review their position and role within the wider sphere of achieving social justice, in the context also of the social justice contributions of others and the constraints they work under</w:t>
      </w:r>
      <w:r>
        <w:rPr>
          <w:rFonts w:ascii="Calibri" w:hAnsi="Calibri" w:cs="Calibri"/>
          <w:sz w:val="20"/>
          <w:szCs w:val="20"/>
        </w:rPr>
        <w:t>.</w:t>
      </w:r>
    </w:p>
    <w:p w14:paraId="13247818" w14:textId="77777777" w:rsidR="006C1FE9" w:rsidRDefault="006C1FE9" w:rsidP="009A056D">
      <w:pPr>
        <w:autoSpaceDE w:val="0"/>
        <w:autoSpaceDN w:val="0"/>
        <w:adjustRightInd w:val="0"/>
        <w:spacing w:after="0" w:line="240" w:lineRule="auto"/>
      </w:pPr>
    </w:p>
    <w:p w14:paraId="791FED2F" w14:textId="011DD5F5" w:rsidR="008246A3" w:rsidRDefault="006C1FE9" w:rsidP="008246A3">
      <w:pPr>
        <w:autoSpaceDE w:val="0"/>
        <w:autoSpaceDN w:val="0"/>
        <w:adjustRightInd w:val="0"/>
        <w:spacing w:after="0" w:line="240" w:lineRule="auto"/>
      </w:pPr>
      <w:r>
        <w:t xml:space="preserve">Areas where the interim evaluation concluded that </w:t>
      </w:r>
      <w:r w:rsidR="00B52C2C">
        <w:t>T</w:t>
      </w:r>
      <w:r>
        <w:t>he Advocacy Initiative had traction were seen to be related to achieving ‘a wider appreciation of the legitimacy and value of social justice advocacy’</w:t>
      </w:r>
      <w:r w:rsidR="000D607A">
        <w:t xml:space="preserve">. </w:t>
      </w:r>
      <w:r w:rsidR="008F5DEE">
        <w:t xml:space="preserve">The evaluators suggested that this could be done by ensuring that </w:t>
      </w:r>
      <w:r w:rsidR="008246A3">
        <w:t>by</w:t>
      </w:r>
      <w:r w:rsidR="008F5DEE">
        <w:t xml:space="preserve"> the Initiative </w:t>
      </w:r>
      <w:r w:rsidR="000D607A">
        <w:t>generated a legacy that</w:t>
      </w:r>
      <w:r w:rsidR="008246A3">
        <w:t xml:space="preserve">: </w:t>
      </w:r>
    </w:p>
    <w:p w14:paraId="58DB1451" w14:textId="70A5D598" w:rsidR="008246A3" w:rsidRPr="008246A3" w:rsidRDefault="008F5DEE" w:rsidP="009B4794">
      <w:pPr>
        <w:pStyle w:val="ListParagraph"/>
        <w:numPr>
          <w:ilvl w:val="2"/>
          <w:numId w:val="4"/>
        </w:numPr>
        <w:autoSpaceDE w:val="0"/>
        <w:autoSpaceDN w:val="0"/>
        <w:adjustRightInd w:val="0"/>
        <w:spacing w:after="0" w:line="240" w:lineRule="auto"/>
        <w:ind w:left="851"/>
      </w:pPr>
      <w:r>
        <w:t>Maintain</w:t>
      </w:r>
      <w:r w:rsidR="000D607A">
        <w:t>ed</w:t>
      </w:r>
      <w:r w:rsidR="008246A3" w:rsidRPr="008246A3">
        <w:t xml:space="preserve"> open space for</w:t>
      </w:r>
      <w:r w:rsidR="00624865">
        <w:t xml:space="preserve"> discussion and critical self-</w:t>
      </w:r>
      <w:r w:rsidR="008246A3" w:rsidRPr="008246A3">
        <w:t>reflection</w:t>
      </w:r>
    </w:p>
    <w:p w14:paraId="67A74529" w14:textId="25000DE6" w:rsidR="008246A3" w:rsidRPr="008246A3" w:rsidRDefault="008F5DEE" w:rsidP="009B4794">
      <w:pPr>
        <w:pStyle w:val="ListParagraph"/>
        <w:numPr>
          <w:ilvl w:val="2"/>
          <w:numId w:val="4"/>
        </w:numPr>
        <w:autoSpaceDE w:val="0"/>
        <w:autoSpaceDN w:val="0"/>
        <w:adjustRightInd w:val="0"/>
        <w:spacing w:after="0" w:line="240" w:lineRule="auto"/>
        <w:ind w:left="851"/>
      </w:pPr>
      <w:r>
        <w:t>Ensure</w:t>
      </w:r>
      <w:r w:rsidR="000D607A">
        <w:t>d</w:t>
      </w:r>
      <w:r>
        <w:t xml:space="preserve"> </w:t>
      </w:r>
      <w:r w:rsidR="008246A3" w:rsidRPr="008246A3">
        <w:t>access</w:t>
      </w:r>
      <w:r>
        <w:t xml:space="preserve"> </w:t>
      </w:r>
      <w:r w:rsidR="008246A3" w:rsidRPr="008246A3">
        <w:t>to</w:t>
      </w:r>
      <w:r>
        <w:t xml:space="preserve"> the r</w:t>
      </w:r>
      <w:r w:rsidR="008246A3" w:rsidRPr="008246A3">
        <w:t>esources</w:t>
      </w:r>
      <w:r>
        <w:t xml:space="preserve"> </w:t>
      </w:r>
      <w:r w:rsidR="008246A3" w:rsidRPr="008246A3">
        <w:t>and</w:t>
      </w:r>
      <w:r>
        <w:t xml:space="preserve"> </w:t>
      </w:r>
      <w:r w:rsidR="008246A3" w:rsidRPr="008246A3">
        <w:t>learning</w:t>
      </w:r>
      <w:r>
        <w:t xml:space="preserve"> </w:t>
      </w:r>
      <w:r w:rsidR="008246A3" w:rsidRPr="008246A3">
        <w:t>produced</w:t>
      </w:r>
      <w:r>
        <w:t xml:space="preserve"> </w:t>
      </w:r>
      <w:r w:rsidR="008246A3" w:rsidRPr="008246A3">
        <w:t>through</w:t>
      </w:r>
      <w:r>
        <w:t xml:space="preserve"> </w:t>
      </w:r>
      <w:r w:rsidR="008246A3" w:rsidRPr="008246A3">
        <w:t>the</w:t>
      </w:r>
      <w:r>
        <w:t xml:space="preserve"> </w:t>
      </w:r>
      <w:r w:rsidR="008246A3" w:rsidRPr="008246A3">
        <w:t>lifetime</w:t>
      </w:r>
      <w:r>
        <w:t xml:space="preserve"> </w:t>
      </w:r>
      <w:r w:rsidR="008246A3" w:rsidRPr="008246A3">
        <w:t>of the Initiative</w:t>
      </w:r>
    </w:p>
    <w:p w14:paraId="171518A7" w14:textId="0E22024E" w:rsidR="008246A3" w:rsidRPr="008246A3" w:rsidRDefault="000D607A" w:rsidP="009B4794">
      <w:pPr>
        <w:pStyle w:val="ListParagraph"/>
        <w:numPr>
          <w:ilvl w:val="2"/>
          <w:numId w:val="4"/>
        </w:numPr>
        <w:autoSpaceDE w:val="0"/>
        <w:autoSpaceDN w:val="0"/>
        <w:adjustRightInd w:val="0"/>
        <w:spacing w:after="0" w:line="240" w:lineRule="auto"/>
        <w:ind w:left="851"/>
      </w:pPr>
      <w:r>
        <w:t xml:space="preserve">Connected </w:t>
      </w:r>
      <w:r w:rsidR="008246A3" w:rsidRPr="008246A3">
        <w:t>to</w:t>
      </w:r>
      <w:r w:rsidR="008F5DEE">
        <w:t xml:space="preserve"> </w:t>
      </w:r>
      <w:r w:rsidR="008246A3" w:rsidRPr="008246A3">
        <w:t>platforms</w:t>
      </w:r>
      <w:r w:rsidR="000F7077">
        <w:t xml:space="preserve"> </w:t>
      </w:r>
      <w:r w:rsidR="008246A3" w:rsidRPr="008246A3">
        <w:t>(existing</w:t>
      </w:r>
      <w:r w:rsidR="008F5DEE">
        <w:t xml:space="preserve"> </w:t>
      </w:r>
      <w:r w:rsidR="008246A3" w:rsidRPr="008246A3">
        <w:t>or</w:t>
      </w:r>
      <w:r w:rsidR="008F5DEE">
        <w:t xml:space="preserve"> </w:t>
      </w:r>
      <w:r w:rsidR="008246A3" w:rsidRPr="008246A3">
        <w:t>new)</w:t>
      </w:r>
      <w:r w:rsidR="008F5DEE">
        <w:t xml:space="preserve"> </w:t>
      </w:r>
      <w:r w:rsidR="008246A3" w:rsidRPr="008246A3">
        <w:t>where</w:t>
      </w:r>
      <w:r w:rsidR="008F5DEE">
        <w:t xml:space="preserve"> </w:t>
      </w:r>
      <w:r w:rsidR="008246A3" w:rsidRPr="008246A3">
        <w:t>by</w:t>
      </w:r>
      <w:r w:rsidR="008F5DEE">
        <w:t xml:space="preserve"> </w:t>
      </w:r>
      <w:r w:rsidR="008246A3" w:rsidRPr="008246A3">
        <w:t>this</w:t>
      </w:r>
      <w:r w:rsidR="008F5DEE">
        <w:t xml:space="preserve"> </w:t>
      </w:r>
      <w:r w:rsidR="008246A3" w:rsidRPr="008246A3">
        <w:t>learning</w:t>
      </w:r>
      <w:r w:rsidR="008F5DEE">
        <w:t xml:space="preserve"> </w:t>
      </w:r>
      <w:r w:rsidR="008246A3" w:rsidRPr="008246A3">
        <w:t>can</w:t>
      </w:r>
      <w:r w:rsidR="008F5DEE">
        <w:t xml:space="preserve"> </w:t>
      </w:r>
      <w:r w:rsidR="008246A3" w:rsidRPr="008246A3">
        <w:t>be</w:t>
      </w:r>
      <w:r w:rsidR="008F5DEE">
        <w:t xml:space="preserve"> </w:t>
      </w:r>
      <w:r w:rsidR="008246A3" w:rsidRPr="008246A3">
        <w:t>shared</w:t>
      </w:r>
    </w:p>
    <w:p w14:paraId="1F5F8195" w14:textId="49BF2455" w:rsidR="006C1FE9" w:rsidRPr="008246A3" w:rsidRDefault="000D607A" w:rsidP="009B4794">
      <w:pPr>
        <w:pStyle w:val="ListParagraph"/>
        <w:numPr>
          <w:ilvl w:val="2"/>
          <w:numId w:val="4"/>
        </w:numPr>
        <w:autoSpaceDE w:val="0"/>
        <w:autoSpaceDN w:val="0"/>
        <w:adjustRightInd w:val="0"/>
        <w:spacing w:after="0" w:line="240" w:lineRule="auto"/>
        <w:ind w:left="851"/>
      </w:pPr>
      <w:r>
        <w:t>Ensured</w:t>
      </w:r>
      <w:r w:rsidR="008246A3" w:rsidRPr="008246A3">
        <w:t xml:space="preserve"> that capacity gaps </w:t>
      </w:r>
      <w:r>
        <w:t xml:space="preserve">could be </w:t>
      </w:r>
      <w:r w:rsidR="008246A3" w:rsidRPr="008246A3">
        <w:t>addressed</w:t>
      </w:r>
    </w:p>
    <w:p w14:paraId="1D35B44C" w14:textId="77777777" w:rsidR="00176AAD" w:rsidRDefault="00176AAD" w:rsidP="009A056D">
      <w:pPr>
        <w:autoSpaceDE w:val="0"/>
        <w:autoSpaceDN w:val="0"/>
        <w:adjustRightInd w:val="0"/>
        <w:spacing w:after="0" w:line="240" w:lineRule="auto"/>
      </w:pPr>
    </w:p>
    <w:p w14:paraId="287E6074" w14:textId="44E19AFC" w:rsidR="00221BE3" w:rsidRPr="00321AAD" w:rsidRDefault="00221BE3" w:rsidP="009A056D">
      <w:pPr>
        <w:autoSpaceDE w:val="0"/>
        <w:autoSpaceDN w:val="0"/>
        <w:adjustRightInd w:val="0"/>
        <w:spacing w:after="0" w:line="240" w:lineRule="auto"/>
      </w:pPr>
      <w:r>
        <w:t xml:space="preserve">Complementing our Theory of Change, </w:t>
      </w:r>
      <w:r w:rsidR="00B52C2C">
        <w:t>T</w:t>
      </w:r>
      <w:r>
        <w:t>he Advocacy Initiative has also used a Theory U process to describe our journey as one of focusing, broadening and deepening our reflections on social justice advocacy in Ireland.  Th</w:t>
      </w:r>
      <w:r w:rsidR="00EA48A7">
        <w:t>is</w:t>
      </w:r>
      <w:r>
        <w:t xml:space="preserve"> tool</w:t>
      </w:r>
      <w:r w:rsidR="00EA48A7">
        <w:t xml:space="preserve"> </w:t>
      </w:r>
      <w:r w:rsidR="00F36250">
        <w:t xml:space="preserve">enabled </w:t>
      </w:r>
      <w:r>
        <w:t xml:space="preserve">us </w:t>
      </w:r>
      <w:r w:rsidR="00F36250">
        <w:t xml:space="preserve">to further </w:t>
      </w:r>
      <w:r>
        <w:t>reflect on the nature and consequences of the relationships between the state and social justice advocates</w:t>
      </w:r>
      <w:r w:rsidR="00EA48A7">
        <w:t xml:space="preserve"> (for more information on the Theory U see: </w:t>
      </w:r>
      <w:hyperlink r:id="rId14" w:history="1">
        <w:r w:rsidR="00EA48A7" w:rsidRPr="00B52C2C">
          <w:rPr>
            <w:rStyle w:val="Hyperlink"/>
          </w:rPr>
          <w:t>https://www.presencing.com/theoryu</w:t>
        </w:r>
      </w:hyperlink>
      <w:r w:rsidR="00EA48A7">
        <w:t>)</w:t>
      </w:r>
      <w:r>
        <w:t>.</w:t>
      </w:r>
    </w:p>
    <w:p w14:paraId="0EDA7672" w14:textId="77777777" w:rsidR="009A056D" w:rsidRDefault="009A056D" w:rsidP="001C1C94">
      <w:pPr>
        <w:spacing w:line="240" w:lineRule="auto"/>
        <w:rPr>
          <w:color w:val="7030A0"/>
        </w:rPr>
      </w:pPr>
    </w:p>
    <w:p w14:paraId="7C1EE817" w14:textId="3D1A87DC" w:rsidR="001C1C94" w:rsidRPr="0076454D" w:rsidRDefault="009A056D" w:rsidP="00421D6A">
      <w:pPr>
        <w:pStyle w:val="Heading2"/>
      </w:pPr>
      <w:bookmarkStart w:id="36" w:name="_Toc394492951"/>
      <w:bookmarkStart w:id="37" w:name="_Toc394493485"/>
      <w:r>
        <w:lastRenderedPageBreak/>
        <w:t>2.1</w:t>
      </w:r>
      <w:r w:rsidR="00F5687F">
        <w:t xml:space="preserve">3 </w:t>
      </w:r>
      <w:r w:rsidR="00791C0C" w:rsidRPr="0076454D">
        <w:t>Self r</w:t>
      </w:r>
      <w:r w:rsidR="001C1C94" w:rsidRPr="0076454D">
        <w:t>ef</w:t>
      </w:r>
      <w:r w:rsidR="009D7A98">
        <w:t>l</w:t>
      </w:r>
      <w:r w:rsidR="001C1C94" w:rsidRPr="0076454D">
        <w:t>ection</w:t>
      </w:r>
      <w:bookmarkEnd w:id="36"/>
      <w:bookmarkEnd w:id="37"/>
    </w:p>
    <w:p w14:paraId="48BAAFEB" w14:textId="2F89D6E5" w:rsidR="0098333F" w:rsidRDefault="00CA2A7C" w:rsidP="001C1C94">
      <w:pPr>
        <w:spacing w:line="240" w:lineRule="auto"/>
      </w:pPr>
      <w:r>
        <w:t>S</w:t>
      </w:r>
      <w:r w:rsidR="00791C0C" w:rsidRPr="00B33993">
        <w:t>elf-reflection</w:t>
      </w:r>
      <w:r w:rsidR="00C3514A">
        <w:t xml:space="preserve"> </w:t>
      </w:r>
      <w:r>
        <w:t xml:space="preserve">was a </w:t>
      </w:r>
      <w:r w:rsidR="00693446">
        <w:t xml:space="preserve">key </w:t>
      </w:r>
      <w:r w:rsidRPr="00B33993">
        <w:t>element of the work</w:t>
      </w:r>
      <w:r w:rsidR="00693446">
        <w:t xml:space="preserve"> with many of the activities implemented in such a way as to promote self-refection (e.g. the space for reflection created by the Knowledge Exchange Fora, the adoption of a participatory approach within the perceptions study, the </w:t>
      </w:r>
      <w:r w:rsidR="00D33062">
        <w:t>compilation</w:t>
      </w:r>
      <w:r w:rsidR="00693446">
        <w:t xml:space="preserve"> of </w:t>
      </w:r>
      <w:r w:rsidR="00D33062">
        <w:t>best</w:t>
      </w:r>
      <w:r w:rsidR="00693446">
        <w:t xml:space="preserve"> practice case studies and the detailed interviews conducted as part of the funding studies)</w:t>
      </w:r>
      <w:r w:rsidR="006D4BAC">
        <w:t xml:space="preserve">.  </w:t>
      </w:r>
      <w:r w:rsidR="00D33062">
        <w:t xml:space="preserve">The steering committee also engaged in a deliberate process of self-reflection while the </w:t>
      </w:r>
      <w:r w:rsidR="0098333F">
        <w:t>social justice advocates involved in the Perceptions Study also included a self-reflection section within their report.</w:t>
      </w:r>
    </w:p>
    <w:p w14:paraId="3CFBA410" w14:textId="263BCDD2" w:rsidR="001042D2" w:rsidRDefault="00C3514A" w:rsidP="00946DE9">
      <w:pPr>
        <w:autoSpaceDE w:val="0"/>
        <w:autoSpaceDN w:val="0"/>
        <w:adjustRightInd w:val="0"/>
        <w:spacing w:after="0" w:line="240" w:lineRule="auto"/>
      </w:pPr>
      <w:r>
        <w:t xml:space="preserve">The </w:t>
      </w:r>
      <w:r w:rsidR="00946DE9">
        <w:t xml:space="preserve">purpose of the </w:t>
      </w:r>
      <w:r w:rsidR="00D33062">
        <w:t xml:space="preserve">specific </w:t>
      </w:r>
      <w:r w:rsidR="0098333F">
        <w:t xml:space="preserve">self-reflection </w:t>
      </w:r>
      <w:r>
        <w:t xml:space="preserve">work </w:t>
      </w:r>
      <w:r w:rsidR="00D33062">
        <w:t xml:space="preserve">done </w:t>
      </w:r>
      <w:r w:rsidR="000D607A">
        <w:t xml:space="preserve">with/by the Steering </w:t>
      </w:r>
      <w:r w:rsidR="00221BE3">
        <w:t>Committee</w:t>
      </w:r>
      <w:r w:rsidR="000D607A">
        <w:t xml:space="preserve"> </w:t>
      </w:r>
      <w:r w:rsidR="00946DE9">
        <w:t xml:space="preserve">was to facilitate and </w:t>
      </w:r>
      <w:r w:rsidR="00946DE9" w:rsidRPr="00B834A4">
        <w:t xml:space="preserve">enable the kind of  'transformative dialogue' that might give insights into the key issues that can be addressed, and into how such a process might be instigated more widely. This work began with </w:t>
      </w:r>
      <w:r>
        <w:t>an internal co</w:t>
      </w:r>
      <w:r w:rsidR="00CA2A7C">
        <w:t xml:space="preserve">nversation </w:t>
      </w:r>
      <w:r w:rsidR="0098333F">
        <w:t xml:space="preserve">in relation to </w:t>
      </w:r>
      <w:r>
        <w:t xml:space="preserve">what members of the steering committee </w:t>
      </w:r>
      <w:r w:rsidR="0098333F">
        <w:t xml:space="preserve">would </w:t>
      </w:r>
      <w:r w:rsidR="0098333F" w:rsidRPr="00D33062">
        <w:rPr>
          <w:i/>
        </w:rPr>
        <w:t>least</w:t>
      </w:r>
      <w:r w:rsidR="0098333F">
        <w:t xml:space="preserve"> like to talk about;</w:t>
      </w:r>
      <w:r>
        <w:t xml:space="preserve"> </w:t>
      </w:r>
      <w:r w:rsidR="00CA2A7C">
        <w:t>whether there were any issues with the dynamics of the group; peoples openness to contribute to meetings as well as consideration of the challenging issues for social justice advocates more generally.</w:t>
      </w:r>
      <w:r w:rsidR="0098333F">
        <w:t xml:space="preserve"> </w:t>
      </w:r>
    </w:p>
    <w:p w14:paraId="1CD1BD8D" w14:textId="77777777" w:rsidR="001042D2" w:rsidRDefault="001042D2" w:rsidP="00946DE9">
      <w:pPr>
        <w:autoSpaceDE w:val="0"/>
        <w:autoSpaceDN w:val="0"/>
        <w:adjustRightInd w:val="0"/>
        <w:spacing w:after="0" w:line="240" w:lineRule="auto"/>
      </w:pPr>
    </w:p>
    <w:p w14:paraId="3561857E" w14:textId="39C440DC" w:rsidR="006C1C99" w:rsidRDefault="0098333F" w:rsidP="001042D2">
      <w:pPr>
        <w:autoSpaceDE w:val="0"/>
        <w:autoSpaceDN w:val="0"/>
        <w:adjustRightInd w:val="0"/>
        <w:spacing w:after="0" w:line="240" w:lineRule="auto"/>
      </w:pPr>
      <w:r>
        <w:t xml:space="preserve">This was followed by </w:t>
      </w:r>
      <w:r w:rsidR="006C1C99">
        <w:t xml:space="preserve">a formal </w:t>
      </w:r>
      <w:r w:rsidR="000F7077">
        <w:t>d</w:t>
      </w:r>
      <w:r w:rsidR="006C1C99">
        <w:t>ialogue session</w:t>
      </w:r>
      <w:r>
        <w:t xml:space="preserve"> </w:t>
      </w:r>
      <w:r w:rsidR="006C1C99">
        <w:t xml:space="preserve">(May 2012) </w:t>
      </w:r>
      <w:r>
        <w:t xml:space="preserve">facilitated by an independent facilitator.  </w:t>
      </w:r>
      <w:r w:rsidR="006C1C99">
        <w:t xml:space="preserve"> This session fo</w:t>
      </w:r>
      <w:r w:rsidR="006D4BAC">
        <w:t xml:space="preserve">cused on the topic of respect. </w:t>
      </w:r>
      <w:proofErr w:type="gramStart"/>
      <w:r w:rsidR="006C1C99">
        <w:t xml:space="preserve">Following that session two further internal preparation meetings before the second formal </w:t>
      </w:r>
      <w:r w:rsidR="000F7077">
        <w:t>d</w:t>
      </w:r>
      <w:r w:rsidR="006C1C99">
        <w:t>ialogue (October 2012) facilitated by the same independent facilitator.</w:t>
      </w:r>
      <w:proofErr w:type="gramEnd"/>
      <w:r w:rsidR="006C1C99">
        <w:t xml:space="preserve"> </w:t>
      </w:r>
      <w:r w:rsidR="001042D2">
        <w:t>With the first session better attended than the second, t</w:t>
      </w:r>
      <w:r>
        <w:t xml:space="preserve">he </w:t>
      </w:r>
      <w:r w:rsidR="006C1C99">
        <w:t>feedback from those who attended these sessions was that these t</w:t>
      </w:r>
      <w:r w:rsidR="001042D2">
        <w:t xml:space="preserve">ypes of conversations were hard. </w:t>
      </w:r>
      <w:r w:rsidR="006C1C99">
        <w:t xml:space="preserve">In an effort to move away from reflection in larger groups (which was found to be challenging) </w:t>
      </w:r>
      <w:r w:rsidR="001342B8">
        <w:t xml:space="preserve">in Spring 2013 </w:t>
      </w:r>
      <w:r w:rsidR="006C1C99">
        <w:t xml:space="preserve">it </w:t>
      </w:r>
      <w:r w:rsidR="001342B8">
        <w:t>w</w:t>
      </w:r>
      <w:r w:rsidR="006C1C99">
        <w:t>as agreed that individual members of the Steering Committee would undertake two conversations ‘2 cups of coffee’</w:t>
      </w:r>
      <w:r w:rsidR="001342B8">
        <w:t xml:space="preserve"> with two other </w:t>
      </w:r>
      <w:r w:rsidR="006C1C99">
        <w:t>individuals from the</w:t>
      </w:r>
      <w:r w:rsidR="001342B8">
        <w:t xml:space="preserve"> community and voluntary sector in relation to the challenges facing social justice advocacy</w:t>
      </w:r>
      <w:r w:rsidR="001042D2">
        <w:t>)</w:t>
      </w:r>
      <w:r w:rsidR="00EA48A7">
        <w:t>.</w:t>
      </w:r>
      <w:r w:rsidR="001042D2">
        <w:t xml:space="preserve"> </w:t>
      </w:r>
      <w:r w:rsidR="00EA48A7">
        <w:t>I</w:t>
      </w:r>
      <w:r w:rsidR="001042D2">
        <w:t xml:space="preserve">n the event only </w:t>
      </w:r>
      <w:r w:rsidR="00EA48A7">
        <w:t>three</w:t>
      </w:r>
      <w:r w:rsidR="001042D2">
        <w:t xml:space="preserve"> individuals undertook t</w:t>
      </w:r>
      <w:r w:rsidR="000D607A">
        <w:t xml:space="preserve">hese conversations as requested and a decision was ultimately made </w:t>
      </w:r>
      <w:r w:rsidR="00D33062">
        <w:t xml:space="preserve">to </w:t>
      </w:r>
      <w:r w:rsidR="00D53A53">
        <w:t xml:space="preserve">move away from </w:t>
      </w:r>
      <w:r w:rsidR="00D33062">
        <w:t xml:space="preserve">the use of formal self-reflection sessions and instead to allow space in existing meetings for </w:t>
      </w:r>
      <w:r w:rsidR="00D53A53">
        <w:t>self-reflect</w:t>
      </w:r>
      <w:r w:rsidR="00A258D5">
        <w:t xml:space="preserve">ion. </w:t>
      </w:r>
    </w:p>
    <w:p w14:paraId="794B003F" w14:textId="77777777" w:rsidR="001042D2" w:rsidRDefault="001042D2" w:rsidP="001042D2">
      <w:pPr>
        <w:autoSpaceDE w:val="0"/>
        <w:autoSpaceDN w:val="0"/>
        <w:adjustRightInd w:val="0"/>
        <w:spacing w:after="0" w:line="240" w:lineRule="auto"/>
      </w:pPr>
    </w:p>
    <w:p w14:paraId="4D556A0C" w14:textId="3DC850B1" w:rsidR="00F05C15" w:rsidRPr="003A5291" w:rsidRDefault="00582350" w:rsidP="003A5291">
      <w:pPr>
        <w:autoSpaceDE w:val="0"/>
        <w:autoSpaceDN w:val="0"/>
        <w:adjustRightInd w:val="0"/>
        <w:spacing w:after="0" w:line="240" w:lineRule="auto"/>
      </w:pPr>
      <w:r>
        <w:t>This decision was supported by</w:t>
      </w:r>
      <w:r w:rsidR="000D607A">
        <w:t xml:space="preserve"> the</w:t>
      </w:r>
      <w:r w:rsidR="001042D2">
        <w:t xml:space="preserve"> interim evaluation </w:t>
      </w:r>
      <w:r>
        <w:t xml:space="preserve">finding </w:t>
      </w:r>
      <w:r w:rsidR="001042D2">
        <w:t xml:space="preserve">that these more intensive </w:t>
      </w:r>
      <w:r w:rsidR="003A5291">
        <w:t>self-reflection</w:t>
      </w:r>
      <w:r w:rsidR="001042D2">
        <w:t xml:space="preserve"> </w:t>
      </w:r>
      <w:r w:rsidR="003A5291">
        <w:t>exercises</w:t>
      </w:r>
      <w:r w:rsidR="001042D2">
        <w:t xml:space="preserve"> did not achieve </w:t>
      </w:r>
      <w:r w:rsidR="003A5291">
        <w:t xml:space="preserve">that was intended.  Different reasons were given from this lack of success the most compelling of which was that </w:t>
      </w:r>
      <w:r w:rsidR="003A5291" w:rsidRPr="003A5291">
        <w:t xml:space="preserve">critical self-reflection and transformative dialogue cannot </w:t>
      </w:r>
      <w:r w:rsidR="003A5291">
        <w:t xml:space="preserve">be </w:t>
      </w:r>
      <w:r>
        <w:t>'manufactured'</w:t>
      </w:r>
      <w:r w:rsidR="00221BE3">
        <w:t>, it</w:t>
      </w:r>
      <w:r>
        <w:t xml:space="preserve"> </w:t>
      </w:r>
      <w:r w:rsidR="003A5291" w:rsidRPr="003A5291">
        <w:t>need</w:t>
      </w:r>
      <w:r w:rsidR="00B9697E">
        <w:t>s</w:t>
      </w:r>
      <w:r w:rsidR="003A5291" w:rsidRPr="003A5291">
        <w:t xml:space="preserve"> instead to </w:t>
      </w:r>
      <w:r>
        <w:t xml:space="preserve">be supported to </w:t>
      </w:r>
      <w:r w:rsidR="003A5291" w:rsidRPr="003A5291">
        <w:t xml:space="preserve">happen spontaneously, with conditions created for this spontaneity to emerge, the </w:t>
      </w:r>
      <w:r w:rsidR="00B9697E">
        <w:t xml:space="preserve">challenge being that </w:t>
      </w:r>
      <w:r w:rsidR="003A5291" w:rsidRPr="003A5291">
        <w:t xml:space="preserve">these conditions do not </w:t>
      </w:r>
      <w:r w:rsidR="00EA48A7">
        <w:t xml:space="preserve">necessarily </w:t>
      </w:r>
      <w:r w:rsidR="00213030">
        <w:t>emerge spontaneously- the so called ‘spontaneity paradox’.</w:t>
      </w:r>
      <w:r w:rsidR="000F7077">
        <w:t xml:space="preserve">  </w:t>
      </w:r>
    </w:p>
    <w:p w14:paraId="60D21D42" w14:textId="77777777" w:rsidR="009A056D" w:rsidRDefault="009A056D" w:rsidP="001C1C94">
      <w:pPr>
        <w:spacing w:line="240" w:lineRule="auto"/>
      </w:pPr>
    </w:p>
    <w:p w14:paraId="1B685FE2" w14:textId="5DD44D04" w:rsidR="00721430" w:rsidRPr="0076454D" w:rsidRDefault="009A056D" w:rsidP="00421D6A">
      <w:pPr>
        <w:pStyle w:val="Heading2"/>
      </w:pPr>
      <w:bookmarkStart w:id="38" w:name="_Toc394492952"/>
      <w:bookmarkStart w:id="39" w:name="_Toc394493486"/>
      <w:r>
        <w:t>2.</w:t>
      </w:r>
      <w:r w:rsidR="00B9697E">
        <w:t>1</w:t>
      </w:r>
      <w:r w:rsidR="00F5687F">
        <w:t>4</w:t>
      </w:r>
      <w:r w:rsidR="0076454D">
        <w:t xml:space="preserve"> </w:t>
      </w:r>
      <w:r w:rsidR="0076454D" w:rsidRPr="0076454D">
        <w:t>In Summary</w:t>
      </w:r>
      <w:bookmarkEnd w:id="38"/>
      <w:bookmarkEnd w:id="39"/>
    </w:p>
    <w:p w14:paraId="0E331F12" w14:textId="77777777" w:rsidR="00E33647" w:rsidRPr="00FD0CB1" w:rsidRDefault="00B834A4" w:rsidP="00FD0CB1">
      <w:pPr>
        <w:spacing w:line="240" w:lineRule="auto"/>
      </w:pPr>
      <w:r>
        <w:t xml:space="preserve">We believe that </w:t>
      </w:r>
      <w:r w:rsidR="001E41EA">
        <w:t xml:space="preserve">the </w:t>
      </w:r>
      <w:r w:rsidR="001E41EA" w:rsidRPr="009D7A98">
        <w:t>Initiative</w:t>
      </w:r>
      <w:r w:rsidR="00E33647" w:rsidRPr="009D7A98">
        <w:t xml:space="preserve"> has </w:t>
      </w:r>
      <w:r w:rsidR="00E33647">
        <w:t xml:space="preserve">provided an opportunity to investigate attitudes to and experiences of social justice advocacy from a range of perspectives.  It has also provided </w:t>
      </w:r>
      <w:r w:rsidR="00E33647" w:rsidRPr="009D7A98">
        <w:t>a space to try new things</w:t>
      </w:r>
      <w:r w:rsidR="00E33647">
        <w:t xml:space="preserve"> and to bring people together in new ways and new combinations</w:t>
      </w:r>
      <w:r w:rsidR="00E33647" w:rsidRPr="009D7A98">
        <w:t>.</w:t>
      </w:r>
      <w:r w:rsidR="00E33647" w:rsidRPr="00FD0CB1">
        <w:t xml:space="preserve"> </w:t>
      </w:r>
      <w:r w:rsidR="00E33647">
        <w:t xml:space="preserve">It has generated a range of very useful outputs and learning and has </w:t>
      </w:r>
      <w:r w:rsidR="00E33647" w:rsidRPr="00310AE7">
        <w:t xml:space="preserve">stimulated </w:t>
      </w:r>
      <w:r w:rsidR="00E33647">
        <w:t xml:space="preserve">a broad range of </w:t>
      </w:r>
      <w:r w:rsidR="00E33647" w:rsidRPr="00310AE7">
        <w:t>conversations</w:t>
      </w:r>
      <w:r w:rsidR="00E33647">
        <w:t xml:space="preserve"> and learning about community and voluntary sector social justice advocacy</w:t>
      </w:r>
      <w:r w:rsidR="00E33647" w:rsidRPr="00310AE7">
        <w:t xml:space="preserve"> </w:t>
      </w:r>
      <w:r w:rsidR="00E33647">
        <w:t xml:space="preserve">and how it is perceived </w:t>
      </w:r>
      <w:r w:rsidR="00E33647" w:rsidRPr="00310AE7">
        <w:t xml:space="preserve">across </w:t>
      </w:r>
      <w:r w:rsidR="00E33647">
        <w:t>a range of sectors and organis</w:t>
      </w:r>
      <w:r w:rsidR="00E33647" w:rsidRPr="00310AE7">
        <w:t>ations.</w:t>
      </w:r>
    </w:p>
    <w:p w14:paraId="5A3BB155" w14:textId="46B61A4A" w:rsidR="009D7A98" w:rsidRPr="009D7A98" w:rsidRDefault="009D7A98" w:rsidP="00FD0CB1">
      <w:pPr>
        <w:spacing w:line="240" w:lineRule="auto"/>
      </w:pPr>
      <w:r w:rsidRPr="009D7A98">
        <w:t xml:space="preserve">The Initiative has benefited from a significant contribution </w:t>
      </w:r>
      <w:r w:rsidR="003534D8">
        <w:t xml:space="preserve">of </w:t>
      </w:r>
      <w:r w:rsidR="00EA48A7">
        <w:t>approximately 630</w:t>
      </w:r>
      <w:r w:rsidR="003534D8" w:rsidRPr="009D7A98">
        <w:t xml:space="preserve"> hours of staff </w:t>
      </w:r>
      <w:r w:rsidR="003534D8">
        <w:t xml:space="preserve">time </w:t>
      </w:r>
      <w:r w:rsidRPr="009D7A98">
        <w:t xml:space="preserve">from the community and voluntary sector </w:t>
      </w:r>
      <w:r w:rsidR="003534D8">
        <w:t xml:space="preserve">who freed up staff </w:t>
      </w:r>
      <w:r w:rsidRPr="009D7A98">
        <w:t xml:space="preserve">to </w:t>
      </w:r>
      <w:r w:rsidR="00F36250">
        <w:t xml:space="preserve">participate in the </w:t>
      </w:r>
      <w:r w:rsidR="00EA48A7">
        <w:t>15</w:t>
      </w:r>
      <w:r w:rsidRPr="009D7A98">
        <w:t xml:space="preserve"> </w:t>
      </w:r>
      <w:r w:rsidR="00F36250">
        <w:t xml:space="preserve">Steering Committee and </w:t>
      </w:r>
      <w:r w:rsidR="00EA48A7">
        <w:t xml:space="preserve">27 </w:t>
      </w:r>
      <w:r w:rsidR="00F36250">
        <w:t>Project Management Group meetings.</w:t>
      </w:r>
      <w:r w:rsidR="00EA48A7">
        <w:t xml:space="preserve">  With each meeting lasting on average </w:t>
      </w:r>
      <w:r w:rsidR="00CC2961">
        <w:t>two</w:t>
      </w:r>
      <w:r w:rsidR="00EA48A7">
        <w:t xml:space="preserve"> hours</w:t>
      </w:r>
      <w:r w:rsidR="00F36250">
        <w:t xml:space="preserve"> (</w:t>
      </w:r>
      <w:r w:rsidR="00EA48A7">
        <w:t>t</w:t>
      </w:r>
      <w:r w:rsidR="00F36250">
        <w:t>his does not include</w:t>
      </w:r>
      <w:r w:rsidR="00EA48A7">
        <w:t xml:space="preserve"> preparation time or broader</w:t>
      </w:r>
      <w:r w:rsidR="00F36250">
        <w:t xml:space="preserve"> attendance at the various Initiative events and activities</w:t>
      </w:r>
      <w:r w:rsidR="009A7882">
        <w:t>)</w:t>
      </w:r>
      <w:r w:rsidRPr="009D7A98">
        <w:t xml:space="preserve">.  </w:t>
      </w:r>
      <w:proofErr w:type="gramStart"/>
      <w:r w:rsidR="003534D8">
        <w:t xml:space="preserve">More than that the initiative benefited from the active and open engagement </w:t>
      </w:r>
      <w:r w:rsidR="00333A21">
        <w:t xml:space="preserve">and indeed commitment </w:t>
      </w:r>
      <w:r w:rsidR="003534D8">
        <w:t xml:space="preserve">of many individuals, who gave generously of their </w:t>
      </w:r>
      <w:r w:rsidR="00333A21">
        <w:t xml:space="preserve">own </w:t>
      </w:r>
      <w:r w:rsidR="003534D8">
        <w:t>time and expertise</w:t>
      </w:r>
      <w:r w:rsidR="00333A21">
        <w:t xml:space="preserve"> to attend meetings and events that were additional to their work</w:t>
      </w:r>
      <w:r w:rsidR="003534D8">
        <w:t>.</w:t>
      </w:r>
      <w:proofErr w:type="gramEnd"/>
      <w:r w:rsidR="003534D8">
        <w:t xml:space="preserve">  </w:t>
      </w:r>
      <w:r w:rsidR="00B834A4">
        <w:t>The I</w:t>
      </w:r>
      <w:r w:rsidRPr="009D7A98">
        <w:t>nitiative has also received support from a broad range of other stakeholders who generally all responded positively to requests to be interviewed or to attend engagement type events.</w:t>
      </w:r>
    </w:p>
    <w:p w14:paraId="38F81EE1" w14:textId="77777777" w:rsidR="001342B8" w:rsidRDefault="001342B8" w:rsidP="00310AE7">
      <w:pPr>
        <w:spacing w:line="240" w:lineRule="auto"/>
      </w:pPr>
    </w:p>
    <w:p w14:paraId="04D6A1DB" w14:textId="77777777" w:rsidR="00421D6A" w:rsidRDefault="00421D6A" w:rsidP="00310AE7">
      <w:pPr>
        <w:spacing w:line="240" w:lineRule="auto"/>
      </w:pPr>
    </w:p>
    <w:p w14:paraId="390C05C8" w14:textId="77777777" w:rsidR="00421D6A" w:rsidRDefault="00421D6A" w:rsidP="00310AE7">
      <w:pPr>
        <w:spacing w:line="240" w:lineRule="auto"/>
      </w:pPr>
    </w:p>
    <w:p w14:paraId="1D469E7A" w14:textId="77777777" w:rsidR="00421D6A" w:rsidRDefault="00421D6A" w:rsidP="00310AE7">
      <w:pPr>
        <w:spacing w:line="240" w:lineRule="auto"/>
      </w:pPr>
    </w:p>
    <w:p w14:paraId="5B685C68" w14:textId="3C7348EA" w:rsidR="00C44598" w:rsidRPr="00C44598" w:rsidRDefault="0076454D" w:rsidP="00421D6A">
      <w:pPr>
        <w:pStyle w:val="Heading1"/>
      </w:pPr>
      <w:bookmarkStart w:id="40" w:name="_Toc394492953"/>
      <w:bookmarkStart w:id="41" w:name="_Toc394493487"/>
      <w:r w:rsidRPr="00B9697E">
        <w:t>3</w:t>
      </w:r>
      <w:r w:rsidRPr="00B9697E">
        <w:tab/>
      </w:r>
      <w:r w:rsidR="00C44598" w:rsidRPr="00C44598">
        <w:t>Who does social justice advocacy and what was going on in social justice advocacy (2010-2014)</w:t>
      </w:r>
      <w:r w:rsidR="00C44598">
        <w:t>?</w:t>
      </w:r>
      <w:bookmarkEnd w:id="40"/>
      <w:bookmarkEnd w:id="41"/>
      <w:r w:rsidR="00C44598" w:rsidRPr="00C44598">
        <w:tab/>
      </w:r>
    </w:p>
    <w:p w14:paraId="7FC56052" w14:textId="77777777" w:rsidR="00C65BE5" w:rsidRPr="007735CD" w:rsidRDefault="00C65BE5" w:rsidP="00421D6A">
      <w:pPr>
        <w:pStyle w:val="Heading2"/>
      </w:pPr>
      <w:bookmarkStart w:id="42" w:name="_Toc394492954"/>
      <w:bookmarkStart w:id="43" w:name="_Toc394493488"/>
      <w:r w:rsidRPr="007735CD">
        <w:t>3.1</w:t>
      </w:r>
      <w:r w:rsidRPr="007735CD">
        <w:tab/>
        <w:t>Introduction</w:t>
      </w:r>
      <w:bookmarkEnd w:id="42"/>
      <w:bookmarkEnd w:id="43"/>
    </w:p>
    <w:p w14:paraId="520D1AC8" w14:textId="395F5566" w:rsidR="00C65BE5" w:rsidRPr="007735CD" w:rsidRDefault="00B834A4" w:rsidP="007735CD">
      <w:pPr>
        <w:spacing w:line="240" w:lineRule="auto"/>
      </w:pPr>
      <w:r>
        <w:t xml:space="preserve">We </w:t>
      </w:r>
      <w:r w:rsidR="00C65BE5" w:rsidRPr="007735CD">
        <w:t xml:space="preserve">generated </w:t>
      </w:r>
      <w:r w:rsidR="00D8735B">
        <w:t xml:space="preserve">information and knowledge from a </w:t>
      </w:r>
      <w:r w:rsidR="00C65BE5" w:rsidRPr="007735CD">
        <w:t xml:space="preserve">combination of </w:t>
      </w:r>
      <w:r w:rsidR="00221BE3">
        <w:t xml:space="preserve">different </w:t>
      </w:r>
      <w:r w:rsidR="00C65BE5" w:rsidRPr="007735CD">
        <w:t>pieces of work (</w:t>
      </w:r>
      <w:r w:rsidR="00AA17B9">
        <w:t xml:space="preserve">documented in Table 2.2 and 2.3) </w:t>
      </w:r>
      <w:r w:rsidR="00C65BE5" w:rsidRPr="007735CD">
        <w:t>in relation to:</w:t>
      </w:r>
    </w:p>
    <w:p w14:paraId="5BC94132" w14:textId="77777777" w:rsidR="00C65BE5" w:rsidRPr="007735CD" w:rsidRDefault="00C65BE5" w:rsidP="009B4794">
      <w:pPr>
        <w:pStyle w:val="ListParagraph"/>
        <w:numPr>
          <w:ilvl w:val="0"/>
          <w:numId w:val="8"/>
        </w:numPr>
        <w:spacing w:line="240" w:lineRule="auto"/>
        <w:ind w:left="709" w:hanging="709"/>
        <w:rPr>
          <w:color w:val="7030A0"/>
        </w:rPr>
      </w:pPr>
      <w:r w:rsidRPr="007735CD">
        <w:t>The nature and extent of social justice advocacy work undertake</w:t>
      </w:r>
      <w:r w:rsidR="00523AEE">
        <w:t>n</w:t>
      </w:r>
      <w:r w:rsidRPr="007735CD">
        <w:t xml:space="preserve"> by the community and voluntary</w:t>
      </w:r>
      <w:r w:rsidRPr="007735CD">
        <w:rPr>
          <w:color w:val="7030A0"/>
        </w:rPr>
        <w:t xml:space="preserve"> </w:t>
      </w:r>
      <w:r w:rsidRPr="007735CD">
        <w:t>sector</w:t>
      </w:r>
    </w:p>
    <w:p w14:paraId="52D71380" w14:textId="77777777" w:rsidR="00C65BE5" w:rsidRPr="007735CD" w:rsidRDefault="00C65BE5" w:rsidP="009B4794">
      <w:pPr>
        <w:pStyle w:val="ListParagraph"/>
        <w:numPr>
          <w:ilvl w:val="0"/>
          <w:numId w:val="8"/>
        </w:numPr>
        <w:spacing w:line="240" w:lineRule="auto"/>
        <w:ind w:left="0" w:firstLine="0"/>
        <w:rPr>
          <w:color w:val="7030A0"/>
        </w:rPr>
      </w:pPr>
      <w:r w:rsidRPr="007735CD">
        <w:t xml:space="preserve">Relationships </w:t>
      </w:r>
      <w:r w:rsidR="00AA17B9">
        <w:t xml:space="preserve">between the community and voluntary sector and the </w:t>
      </w:r>
      <w:r w:rsidRPr="007735CD">
        <w:t>state</w:t>
      </w:r>
    </w:p>
    <w:p w14:paraId="509E6020" w14:textId="77777777" w:rsidR="00333A21" w:rsidRDefault="00C65BE5" w:rsidP="009B4794">
      <w:pPr>
        <w:pStyle w:val="ListParagraph"/>
        <w:numPr>
          <w:ilvl w:val="0"/>
          <w:numId w:val="8"/>
        </w:numPr>
        <w:spacing w:line="240" w:lineRule="auto"/>
        <w:ind w:left="709" w:hanging="709"/>
        <w:rPr>
          <w:color w:val="7030A0"/>
        </w:rPr>
      </w:pPr>
      <w:r w:rsidRPr="007735CD">
        <w:t xml:space="preserve">Relations </w:t>
      </w:r>
      <w:r w:rsidR="00AA17B9">
        <w:t xml:space="preserve">between the community and voluntary sector and </w:t>
      </w:r>
      <w:r w:rsidRPr="007735CD">
        <w:t>others (including the media, the trade unions and the general public)</w:t>
      </w:r>
      <w:r w:rsidR="00333A21" w:rsidRPr="00333A21">
        <w:rPr>
          <w:color w:val="7030A0"/>
        </w:rPr>
        <w:t xml:space="preserve"> </w:t>
      </w:r>
    </w:p>
    <w:p w14:paraId="09C52A06" w14:textId="77777777" w:rsidR="000F7077" w:rsidRDefault="000F7077" w:rsidP="007735CD">
      <w:pPr>
        <w:pStyle w:val="ListParagraph"/>
        <w:spacing w:line="240" w:lineRule="auto"/>
        <w:ind w:left="0"/>
        <w:rPr>
          <w:color w:val="7030A0"/>
        </w:rPr>
      </w:pPr>
    </w:p>
    <w:p w14:paraId="1DEF4F26" w14:textId="18CA5CB7" w:rsidR="00D8735B" w:rsidRDefault="00D8735B" w:rsidP="007735CD">
      <w:pPr>
        <w:pStyle w:val="ListParagraph"/>
        <w:spacing w:line="240" w:lineRule="auto"/>
        <w:ind w:left="0"/>
      </w:pPr>
      <w:r w:rsidRPr="00D8735B">
        <w:t xml:space="preserve">The following section draws </w:t>
      </w:r>
      <w:r w:rsidR="00AA17B9">
        <w:t>together the various findings</w:t>
      </w:r>
      <w:r w:rsidR="00C56129">
        <w:t xml:space="preserve"> from these pieces of work</w:t>
      </w:r>
      <w:r w:rsidR="00AA17B9">
        <w:t xml:space="preserve"> in order to answer these key questions.</w:t>
      </w:r>
    </w:p>
    <w:p w14:paraId="00BC22B3" w14:textId="77777777" w:rsidR="00AA17B9" w:rsidRDefault="00AA17B9" w:rsidP="007735CD">
      <w:pPr>
        <w:pStyle w:val="ListParagraph"/>
        <w:spacing w:line="240" w:lineRule="auto"/>
        <w:ind w:left="0"/>
      </w:pPr>
    </w:p>
    <w:p w14:paraId="2D644436" w14:textId="1E0381AD" w:rsidR="00C65BE5" w:rsidRPr="007735CD" w:rsidRDefault="00C65BE5" w:rsidP="00421D6A">
      <w:pPr>
        <w:pStyle w:val="Heading2"/>
      </w:pPr>
      <w:bookmarkStart w:id="44" w:name="_Toc394492955"/>
      <w:bookmarkStart w:id="45" w:name="_Toc394493489"/>
      <w:r w:rsidRPr="007735CD">
        <w:t>3.2</w:t>
      </w:r>
      <w:r w:rsidRPr="007735CD">
        <w:tab/>
        <w:t>The nature and extent of social justice advocacy work undertake</w:t>
      </w:r>
      <w:r w:rsidR="00523AEE">
        <w:t>n</w:t>
      </w:r>
      <w:bookmarkEnd w:id="44"/>
      <w:bookmarkEnd w:id="45"/>
    </w:p>
    <w:p w14:paraId="7A998CA7" w14:textId="77777777" w:rsidR="00C65BE5" w:rsidRPr="007735CD" w:rsidRDefault="00C65BE5" w:rsidP="007735CD">
      <w:pPr>
        <w:spacing w:line="240" w:lineRule="auto"/>
      </w:pPr>
      <w:r w:rsidRPr="007735CD">
        <w:rPr>
          <w:color w:val="000000" w:themeColor="text1"/>
        </w:rPr>
        <w:t>The absence of a clear shared understanding of advocacy within the comm</w:t>
      </w:r>
      <w:r w:rsidR="00F95131">
        <w:rPr>
          <w:color w:val="000000" w:themeColor="text1"/>
        </w:rPr>
        <w:t>unity and voluntary sector made</w:t>
      </w:r>
      <w:r w:rsidRPr="007735CD">
        <w:rPr>
          <w:color w:val="000000" w:themeColor="text1"/>
        </w:rPr>
        <w:t xml:space="preserve"> it difficult </w:t>
      </w:r>
      <w:r w:rsidR="00B834A4">
        <w:rPr>
          <w:color w:val="000000" w:themeColor="text1"/>
        </w:rPr>
        <w:t xml:space="preserve">for us </w:t>
      </w:r>
      <w:r w:rsidRPr="007735CD">
        <w:rPr>
          <w:color w:val="000000" w:themeColor="text1"/>
        </w:rPr>
        <w:t xml:space="preserve">to definitively quantify the number of community and voluntary organisations involved in advocacy work and in social justice advocacy work in particular.  </w:t>
      </w:r>
    </w:p>
    <w:p w14:paraId="2C718926" w14:textId="0792924F" w:rsidR="005603E9" w:rsidRDefault="00CC2961" w:rsidP="007735CD">
      <w:pPr>
        <w:autoSpaceDE w:val="0"/>
        <w:autoSpaceDN w:val="0"/>
        <w:adjustRightInd w:val="0"/>
        <w:spacing w:after="0" w:line="240" w:lineRule="auto"/>
        <w:rPr>
          <w:color w:val="000000" w:themeColor="text1"/>
        </w:rPr>
      </w:pPr>
      <w:r>
        <w:rPr>
          <w:color w:val="000000" w:themeColor="text1"/>
        </w:rPr>
        <w:t xml:space="preserve">The Centre for Non-Profit Management, Trinity College Dublin </w:t>
      </w:r>
      <w:r w:rsidR="00333A21">
        <w:rPr>
          <w:color w:val="000000" w:themeColor="text1"/>
        </w:rPr>
        <w:t xml:space="preserve">2006 </w:t>
      </w:r>
      <w:r>
        <w:rPr>
          <w:color w:val="000000" w:themeColor="text1"/>
        </w:rPr>
        <w:t>‘</w:t>
      </w:r>
      <w:r w:rsidR="00724006">
        <w:rPr>
          <w:color w:val="000000" w:themeColor="text1"/>
        </w:rPr>
        <w:t xml:space="preserve">Mapping of </w:t>
      </w:r>
      <w:r>
        <w:rPr>
          <w:color w:val="000000" w:themeColor="text1"/>
        </w:rPr>
        <w:t xml:space="preserve">the Third Sector’ </w:t>
      </w:r>
      <w:r w:rsidR="00724006">
        <w:rPr>
          <w:color w:val="000000" w:themeColor="text1"/>
        </w:rPr>
        <w:t>found that 768 (18.2%) of the organisations they surveyed were involved in ‘civil rights and advocacy activities’ (p.35) while ‘</w:t>
      </w:r>
      <w:r w:rsidR="00B52C2C">
        <w:rPr>
          <w:color w:val="000000" w:themeColor="text1"/>
        </w:rPr>
        <w:t>a</w:t>
      </w:r>
      <w:r w:rsidR="00724006">
        <w:rPr>
          <w:color w:val="000000" w:themeColor="text1"/>
        </w:rPr>
        <w:t>dvocacy, law and politics’ organisations made up just 4.7% of non-profit organisations at that time</w:t>
      </w:r>
      <w:r w:rsidR="005603E9">
        <w:rPr>
          <w:color w:val="000000" w:themeColor="text1"/>
        </w:rPr>
        <w:t xml:space="preserve"> </w:t>
      </w:r>
      <w:r w:rsidR="00724006">
        <w:rPr>
          <w:color w:val="000000" w:themeColor="text1"/>
        </w:rPr>
        <w:t>(p.38)</w:t>
      </w:r>
      <w:r w:rsidR="005603E9">
        <w:rPr>
          <w:color w:val="000000" w:themeColor="text1"/>
        </w:rPr>
        <w:t xml:space="preserve">. </w:t>
      </w:r>
    </w:p>
    <w:p w14:paraId="1E15CF67" w14:textId="77777777" w:rsidR="005603E9" w:rsidRDefault="005603E9" w:rsidP="007735CD">
      <w:pPr>
        <w:autoSpaceDE w:val="0"/>
        <w:autoSpaceDN w:val="0"/>
        <w:adjustRightInd w:val="0"/>
        <w:spacing w:after="0" w:line="240" w:lineRule="auto"/>
        <w:rPr>
          <w:color w:val="000000" w:themeColor="text1"/>
        </w:rPr>
      </w:pPr>
    </w:p>
    <w:p w14:paraId="6FB5D5FB" w14:textId="447676B8" w:rsidR="00C65BE5" w:rsidRDefault="005603E9" w:rsidP="007735CD">
      <w:pPr>
        <w:autoSpaceDE w:val="0"/>
        <w:autoSpaceDN w:val="0"/>
        <w:adjustRightInd w:val="0"/>
        <w:spacing w:after="0" w:line="240" w:lineRule="auto"/>
      </w:pPr>
      <w:r>
        <w:rPr>
          <w:color w:val="000000" w:themeColor="text1"/>
        </w:rPr>
        <w:t xml:space="preserve">Six years later our </w:t>
      </w:r>
      <w:r w:rsidR="00C65BE5" w:rsidRPr="007735CD">
        <w:rPr>
          <w:color w:val="000000" w:themeColor="text1"/>
        </w:rPr>
        <w:t xml:space="preserve">2012 Mapping Study </w:t>
      </w:r>
      <w:r w:rsidRPr="00CC2961">
        <w:t xml:space="preserve">provided more detailed information on the range of organisations involved in this social justice advocacy work. </w:t>
      </w:r>
      <w:r>
        <w:rPr>
          <w:color w:val="000000" w:themeColor="text1"/>
        </w:rPr>
        <w:t xml:space="preserve">It found that </w:t>
      </w:r>
      <w:r w:rsidR="00EE7498">
        <w:rPr>
          <w:color w:val="000000" w:themeColor="text1"/>
        </w:rPr>
        <w:t>more than half</w:t>
      </w:r>
      <w:r>
        <w:rPr>
          <w:color w:val="000000" w:themeColor="text1"/>
        </w:rPr>
        <w:t xml:space="preserve"> </w:t>
      </w:r>
      <w:r w:rsidR="00C65BE5" w:rsidRPr="007735CD">
        <w:rPr>
          <w:color w:val="000000" w:themeColor="text1"/>
        </w:rPr>
        <w:t xml:space="preserve">of the community and voluntary organisations surveyed </w:t>
      </w:r>
      <w:r>
        <w:rPr>
          <w:color w:val="000000" w:themeColor="text1"/>
        </w:rPr>
        <w:t>(</w:t>
      </w:r>
      <w:r w:rsidRPr="007735CD">
        <w:rPr>
          <w:color w:val="000000" w:themeColor="text1"/>
        </w:rPr>
        <w:t>51%</w:t>
      </w:r>
      <w:r>
        <w:rPr>
          <w:color w:val="000000" w:themeColor="text1"/>
        </w:rPr>
        <w:t xml:space="preserve">) </w:t>
      </w:r>
      <w:r w:rsidR="00C65BE5" w:rsidRPr="007735CD">
        <w:rPr>
          <w:color w:val="000000" w:themeColor="text1"/>
        </w:rPr>
        <w:t>did advocacy work</w:t>
      </w:r>
      <w:r w:rsidR="00F95131">
        <w:rPr>
          <w:color w:val="000000" w:themeColor="text1"/>
        </w:rPr>
        <w:t>,</w:t>
      </w:r>
      <w:r w:rsidR="00C65BE5" w:rsidRPr="007735CD">
        <w:rPr>
          <w:color w:val="000000" w:themeColor="text1"/>
        </w:rPr>
        <w:t xml:space="preserve"> while 39% </w:t>
      </w:r>
      <w:r w:rsidR="00EE7498">
        <w:rPr>
          <w:color w:val="000000" w:themeColor="text1"/>
        </w:rPr>
        <w:t xml:space="preserve">(almost two-fifths) </w:t>
      </w:r>
      <w:r w:rsidR="00C65BE5" w:rsidRPr="007735CD">
        <w:rPr>
          <w:color w:val="000000" w:themeColor="text1"/>
        </w:rPr>
        <w:t xml:space="preserve">undertook social justice advocacy work.  Areas these organisations worked in included: social services (25%); community development &amp; housing (22%); and </w:t>
      </w:r>
      <w:r w:rsidR="00881BE5">
        <w:rPr>
          <w:color w:val="000000" w:themeColor="text1"/>
        </w:rPr>
        <w:t>education and research (13%).  Interestingly t</w:t>
      </w:r>
      <w:r w:rsidR="00C65BE5" w:rsidRPr="007735CD">
        <w:rPr>
          <w:color w:val="000000" w:themeColor="text1"/>
        </w:rPr>
        <w:t xml:space="preserve">he majority of the organisations who undertook social justice advocacy were also service provider organisations </w:t>
      </w:r>
      <w:r w:rsidR="00881BE5">
        <w:rPr>
          <w:color w:val="000000" w:themeColor="text1"/>
        </w:rPr>
        <w:t xml:space="preserve">and were </w:t>
      </w:r>
      <w:r w:rsidR="00C65BE5" w:rsidRPr="007735CD">
        <w:rPr>
          <w:color w:val="000000" w:themeColor="text1"/>
        </w:rPr>
        <w:t xml:space="preserve">more likely to be based and </w:t>
      </w:r>
      <w:r w:rsidR="00881BE5">
        <w:rPr>
          <w:color w:val="000000" w:themeColor="text1"/>
        </w:rPr>
        <w:t xml:space="preserve">to </w:t>
      </w:r>
      <w:r w:rsidR="00C65BE5" w:rsidRPr="007735CD">
        <w:rPr>
          <w:color w:val="000000" w:themeColor="text1"/>
        </w:rPr>
        <w:t>serve ur</w:t>
      </w:r>
      <w:r w:rsidR="00881BE5">
        <w:rPr>
          <w:color w:val="000000" w:themeColor="text1"/>
        </w:rPr>
        <w:t>ban rather than rural locations</w:t>
      </w:r>
      <w:r w:rsidR="00C65BE5" w:rsidRPr="007735CD">
        <w:t>.</w:t>
      </w:r>
    </w:p>
    <w:p w14:paraId="0FB54C09" w14:textId="77777777" w:rsidR="005603E9" w:rsidRPr="007735CD" w:rsidRDefault="005603E9" w:rsidP="007735CD">
      <w:pPr>
        <w:autoSpaceDE w:val="0"/>
        <w:autoSpaceDN w:val="0"/>
        <w:adjustRightInd w:val="0"/>
        <w:spacing w:after="0" w:line="240" w:lineRule="auto"/>
        <w:rPr>
          <w:color w:val="000000" w:themeColor="text1"/>
        </w:rPr>
      </w:pPr>
    </w:p>
    <w:p w14:paraId="32FC4662" w14:textId="597F5B3F" w:rsidR="00C65BE5" w:rsidRPr="007735CD" w:rsidRDefault="005603E9" w:rsidP="007735CD">
      <w:pPr>
        <w:spacing w:line="240" w:lineRule="auto"/>
        <w:rPr>
          <w:color w:val="000000" w:themeColor="text1"/>
        </w:rPr>
      </w:pPr>
      <w:r>
        <w:rPr>
          <w:color w:val="000000" w:themeColor="text1"/>
        </w:rPr>
        <w:t xml:space="preserve">We also </w:t>
      </w:r>
      <w:r w:rsidR="00BE6F86">
        <w:rPr>
          <w:color w:val="000000" w:themeColor="text1"/>
        </w:rPr>
        <w:t>found that m</w:t>
      </w:r>
      <w:r w:rsidR="00C65BE5" w:rsidRPr="007735CD">
        <w:rPr>
          <w:color w:val="000000" w:themeColor="text1"/>
        </w:rPr>
        <w:t xml:space="preserve">uch of the social justice advocacy work undertaken by community and voluntary sector organisations identified took place </w:t>
      </w:r>
      <w:r w:rsidR="00881BE5">
        <w:rPr>
          <w:color w:val="000000" w:themeColor="text1"/>
        </w:rPr>
        <w:t xml:space="preserve">at </w:t>
      </w:r>
      <w:r w:rsidR="00C65BE5" w:rsidRPr="007735CD">
        <w:rPr>
          <w:color w:val="000000" w:themeColor="text1"/>
        </w:rPr>
        <w:t xml:space="preserve">local level (50%), with a smaller percentage </w:t>
      </w:r>
      <w:r w:rsidR="00881BE5">
        <w:rPr>
          <w:color w:val="000000" w:themeColor="text1"/>
        </w:rPr>
        <w:t xml:space="preserve">occurring at </w:t>
      </w:r>
      <w:r>
        <w:rPr>
          <w:color w:val="000000" w:themeColor="text1"/>
        </w:rPr>
        <w:t xml:space="preserve">national </w:t>
      </w:r>
      <w:r w:rsidR="00C65BE5" w:rsidRPr="007735CD">
        <w:rPr>
          <w:color w:val="000000" w:themeColor="text1"/>
        </w:rPr>
        <w:t xml:space="preserve">(32%), </w:t>
      </w:r>
      <w:r>
        <w:rPr>
          <w:color w:val="000000" w:themeColor="text1"/>
        </w:rPr>
        <w:t>regional (10%) and</w:t>
      </w:r>
      <w:r w:rsidR="00C65BE5" w:rsidRPr="007735CD">
        <w:rPr>
          <w:color w:val="000000" w:themeColor="text1"/>
        </w:rPr>
        <w:t xml:space="preserve"> international level</w:t>
      </w:r>
      <w:r>
        <w:rPr>
          <w:color w:val="000000" w:themeColor="text1"/>
        </w:rPr>
        <w:t>s</w:t>
      </w:r>
      <w:r w:rsidR="00221BE3">
        <w:rPr>
          <w:color w:val="000000" w:themeColor="text1"/>
        </w:rPr>
        <w:t xml:space="preserve"> </w:t>
      </w:r>
      <w:r w:rsidR="00C65BE5" w:rsidRPr="007735CD">
        <w:rPr>
          <w:color w:val="000000" w:themeColor="text1"/>
        </w:rPr>
        <w:t>(7%). A wide diversity of advocacy strategies and techniques wer</w:t>
      </w:r>
      <w:r w:rsidR="00881BE5">
        <w:rPr>
          <w:color w:val="000000" w:themeColor="text1"/>
        </w:rPr>
        <w:t xml:space="preserve">e used, split roughly evenly between </w:t>
      </w:r>
      <w:r w:rsidR="00C65BE5" w:rsidRPr="007735CD">
        <w:rPr>
          <w:color w:val="000000" w:themeColor="text1"/>
        </w:rPr>
        <w:t>activities</w:t>
      </w:r>
      <w:r w:rsidR="00CC2961">
        <w:rPr>
          <w:color w:val="000000" w:themeColor="text1"/>
        </w:rPr>
        <w:t xml:space="preserve"> that involved engaging with the decision making system and activities that involved working outside the decision making system to </w:t>
      </w:r>
      <w:r w:rsidR="00AF7F16">
        <w:rPr>
          <w:color w:val="000000" w:themeColor="text1"/>
        </w:rPr>
        <w:t>influence that system</w:t>
      </w:r>
      <w:r w:rsidR="00C65BE5" w:rsidRPr="007735CD">
        <w:rPr>
          <w:color w:val="000000" w:themeColor="text1"/>
        </w:rPr>
        <w:t>. Among the most popular types of advocacy work undertaken by the sector included:</w:t>
      </w:r>
    </w:p>
    <w:p w14:paraId="1324F51F" w14:textId="77777777" w:rsidR="00C65BE5" w:rsidRPr="007735CD" w:rsidRDefault="00C65BE5" w:rsidP="009B4794">
      <w:pPr>
        <w:pStyle w:val="Default"/>
        <w:numPr>
          <w:ilvl w:val="0"/>
          <w:numId w:val="7"/>
        </w:numPr>
        <w:spacing w:after="32"/>
        <w:rPr>
          <w:rFonts w:asciiTheme="minorHAnsi" w:hAnsiTheme="minorHAnsi"/>
          <w:sz w:val="22"/>
          <w:szCs w:val="22"/>
        </w:rPr>
      </w:pPr>
      <w:r w:rsidRPr="007735CD">
        <w:rPr>
          <w:rFonts w:asciiTheme="minorHAnsi" w:hAnsiTheme="minorHAnsi"/>
          <w:sz w:val="22"/>
          <w:szCs w:val="22"/>
        </w:rPr>
        <w:t>Public information and awareness-raising</w:t>
      </w:r>
    </w:p>
    <w:p w14:paraId="0BDC5FBC" w14:textId="77777777" w:rsidR="00C65BE5" w:rsidRPr="007735CD" w:rsidRDefault="00C65BE5" w:rsidP="009B4794">
      <w:pPr>
        <w:pStyle w:val="Default"/>
        <w:numPr>
          <w:ilvl w:val="0"/>
          <w:numId w:val="7"/>
        </w:numPr>
        <w:spacing w:after="32"/>
        <w:rPr>
          <w:rFonts w:asciiTheme="minorHAnsi" w:hAnsiTheme="minorHAnsi"/>
          <w:sz w:val="22"/>
          <w:szCs w:val="22"/>
        </w:rPr>
      </w:pPr>
      <w:r w:rsidRPr="007735CD">
        <w:rPr>
          <w:rFonts w:asciiTheme="minorHAnsi" w:hAnsiTheme="minorHAnsi"/>
          <w:sz w:val="22"/>
          <w:szCs w:val="22"/>
        </w:rPr>
        <w:t>Networking</w:t>
      </w:r>
    </w:p>
    <w:p w14:paraId="20516EFD" w14:textId="77777777" w:rsidR="00C65BE5" w:rsidRPr="007735CD" w:rsidRDefault="00C65BE5" w:rsidP="009B4794">
      <w:pPr>
        <w:pStyle w:val="Default"/>
        <w:numPr>
          <w:ilvl w:val="0"/>
          <w:numId w:val="7"/>
        </w:numPr>
        <w:spacing w:after="32"/>
        <w:rPr>
          <w:rFonts w:asciiTheme="minorHAnsi" w:hAnsiTheme="minorHAnsi"/>
          <w:sz w:val="22"/>
          <w:szCs w:val="22"/>
        </w:rPr>
      </w:pPr>
      <w:r w:rsidRPr="007735CD">
        <w:rPr>
          <w:rFonts w:asciiTheme="minorHAnsi" w:hAnsiTheme="minorHAnsi"/>
          <w:sz w:val="22"/>
          <w:szCs w:val="22"/>
        </w:rPr>
        <w:t>Participation in local and regional committees</w:t>
      </w:r>
    </w:p>
    <w:p w14:paraId="6F1BA285" w14:textId="77777777" w:rsidR="00C65BE5" w:rsidRPr="007735CD" w:rsidRDefault="00C65BE5" w:rsidP="009B4794">
      <w:pPr>
        <w:pStyle w:val="Default"/>
        <w:numPr>
          <w:ilvl w:val="0"/>
          <w:numId w:val="7"/>
        </w:numPr>
        <w:spacing w:after="32"/>
        <w:rPr>
          <w:rFonts w:asciiTheme="minorHAnsi" w:hAnsiTheme="minorHAnsi"/>
          <w:sz w:val="22"/>
          <w:szCs w:val="22"/>
        </w:rPr>
      </w:pPr>
      <w:r w:rsidRPr="007735CD">
        <w:rPr>
          <w:rFonts w:asciiTheme="minorHAnsi" w:hAnsiTheme="minorHAnsi"/>
          <w:sz w:val="22"/>
          <w:szCs w:val="22"/>
        </w:rPr>
        <w:t xml:space="preserve">Lobbying </w:t>
      </w:r>
    </w:p>
    <w:p w14:paraId="1236B484" w14:textId="77777777" w:rsidR="00C65BE5" w:rsidRPr="007735CD" w:rsidRDefault="00C65BE5" w:rsidP="009B4794">
      <w:pPr>
        <w:pStyle w:val="Default"/>
        <w:numPr>
          <w:ilvl w:val="0"/>
          <w:numId w:val="7"/>
        </w:numPr>
        <w:spacing w:after="32"/>
        <w:rPr>
          <w:rFonts w:asciiTheme="minorHAnsi" w:hAnsiTheme="minorHAnsi"/>
          <w:color w:val="000000" w:themeColor="text1"/>
          <w:sz w:val="22"/>
          <w:szCs w:val="22"/>
        </w:rPr>
      </w:pPr>
      <w:r w:rsidRPr="007735CD">
        <w:rPr>
          <w:rFonts w:asciiTheme="minorHAnsi" w:hAnsiTheme="minorHAnsi"/>
          <w:sz w:val="22"/>
          <w:szCs w:val="22"/>
        </w:rPr>
        <w:t xml:space="preserve">Membership of national networks </w:t>
      </w:r>
    </w:p>
    <w:p w14:paraId="57B7EA84" w14:textId="77777777" w:rsidR="00C65BE5" w:rsidRPr="007735CD" w:rsidRDefault="00C65BE5" w:rsidP="007735CD">
      <w:pPr>
        <w:pStyle w:val="Default"/>
        <w:spacing w:after="32"/>
        <w:ind w:left="720"/>
        <w:rPr>
          <w:rFonts w:asciiTheme="minorHAnsi" w:hAnsiTheme="minorHAnsi"/>
          <w:color w:val="000000" w:themeColor="text1"/>
          <w:sz w:val="22"/>
          <w:szCs w:val="22"/>
        </w:rPr>
      </w:pPr>
    </w:p>
    <w:p w14:paraId="45ACBD7E" w14:textId="77777777" w:rsidR="00C65BE5" w:rsidRPr="007735CD" w:rsidRDefault="00881BE5" w:rsidP="007735CD">
      <w:pPr>
        <w:spacing w:line="240" w:lineRule="auto"/>
        <w:rPr>
          <w:color w:val="000000" w:themeColor="text1"/>
        </w:rPr>
      </w:pPr>
      <w:r>
        <w:rPr>
          <w:color w:val="000000" w:themeColor="text1"/>
        </w:rPr>
        <w:lastRenderedPageBreak/>
        <w:t>C</w:t>
      </w:r>
      <w:r w:rsidR="00C65BE5" w:rsidRPr="007735CD">
        <w:rPr>
          <w:color w:val="000000" w:themeColor="text1"/>
        </w:rPr>
        <w:t xml:space="preserve">ommunity and voluntary organisations </w:t>
      </w:r>
      <w:r>
        <w:rPr>
          <w:color w:val="000000" w:themeColor="text1"/>
        </w:rPr>
        <w:t xml:space="preserve">generally </w:t>
      </w:r>
      <w:r w:rsidR="00C65BE5" w:rsidRPr="007735CD">
        <w:rPr>
          <w:color w:val="000000" w:themeColor="text1"/>
        </w:rPr>
        <w:t>reported they were doing more social justice advocacy work generally and specifically more ‘insider’ focused activities than they had been in the past.  About 50% of the work being undertaken was planned while the remainder were unplanned responses to particular situations or opportunities. Almost 50% of the planned work related to in</w:t>
      </w:r>
      <w:r>
        <w:rPr>
          <w:color w:val="000000" w:themeColor="text1"/>
        </w:rPr>
        <w:t xml:space="preserve">formation and awareness </w:t>
      </w:r>
      <w:proofErr w:type="gramStart"/>
      <w:r>
        <w:rPr>
          <w:color w:val="000000" w:themeColor="text1"/>
        </w:rPr>
        <w:t>raising</w:t>
      </w:r>
      <w:proofErr w:type="gramEnd"/>
      <w:r w:rsidR="00C65BE5" w:rsidRPr="007735CD">
        <w:rPr>
          <w:color w:val="000000" w:themeColor="text1"/>
        </w:rPr>
        <w:t>, while the remainder of the work focused on influencing the implementation process, influencing the legislative process, new policy development and the protection of existing policy.</w:t>
      </w:r>
    </w:p>
    <w:p w14:paraId="6B1AE6C1" w14:textId="39B259C7" w:rsidR="00C65BE5" w:rsidRPr="007735CD" w:rsidRDefault="00881BE5" w:rsidP="009A7882">
      <w:pPr>
        <w:spacing w:line="240" w:lineRule="auto"/>
      </w:pPr>
      <w:r>
        <w:rPr>
          <w:color w:val="000000" w:themeColor="text1"/>
        </w:rPr>
        <w:t xml:space="preserve">An </w:t>
      </w:r>
      <w:r w:rsidR="00C65BE5" w:rsidRPr="007735CD">
        <w:rPr>
          <w:color w:val="000000" w:themeColor="text1"/>
        </w:rPr>
        <w:t>increasing number of community and voluntary sector organisations had become involved in national and indeed EU coalitions, alliances and/or networks in order to progress their advocacy work</w:t>
      </w:r>
      <w:r w:rsidR="00C65BE5" w:rsidRPr="007735CD">
        <w:t>. There was a view that it was safer to be part of a group that to go it alone when undertaking advocacy work in the current climate, with collaboration considered the key response to the challenges facing advocacy.</w:t>
      </w:r>
    </w:p>
    <w:p w14:paraId="408D4412" w14:textId="016E4B65" w:rsidR="00C65BE5" w:rsidRPr="007735CD" w:rsidRDefault="00BE6F86" w:rsidP="007735CD">
      <w:pPr>
        <w:autoSpaceDE w:val="0"/>
        <w:autoSpaceDN w:val="0"/>
        <w:adjustRightInd w:val="0"/>
        <w:spacing w:after="0" w:line="240" w:lineRule="auto"/>
        <w:rPr>
          <w:rFonts w:cs="HelveticaNeueLT-Roman"/>
        </w:rPr>
      </w:pPr>
      <w:r>
        <w:t>We found that s</w:t>
      </w:r>
      <w:r w:rsidR="00C65BE5" w:rsidRPr="007735CD">
        <w:t xml:space="preserve">ome </w:t>
      </w:r>
      <w:proofErr w:type="gramStart"/>
      <w:r w:rsidR="00C65BE5" w:rsidRPr="007735CD">
        <w:t>groups</w:t>
      </w:r>
      <w:proofErr w:type="gramEnd"/>
      <w:r w:rsidR="00C65BE5" w:rsidRPr="007735CD">
        <w:t xml:space="preserve"> prioritised issues th</w:t>
      </w:r>
      <w:r w:rsidR="00BD7767">
        <w:t>r</w:t>
      </w:r>
      <w:r w:rsidR="00C65BE5" w:rsidRPr="007735CD">
        <w:t xml:space="preserve">ough </w:t>
      </w:r>
      <w:r w:rsidR="00BD7767">
        <w:t>a</w:t>
      </w:r>
      <w:r w:rsidR="00C65BE5" w:rsidRPr="007735CD">
        <w:t xml:space="preserve"> strategic planning process, while other</w:t>
      </w:r>
      <w:r w:rsidR="00881BE5">
        <w:t>s</w:t>
      </w:r>
      <w:r w:rsidR="00C65BE5" w:rsidRPr="007735CD">
        <w:t xml:space="preserve"> prioritised</w:t>
      </w:r>
      <w:r w:rsidR="00881BE5">
        <w:t xml:space="preserve"> issues</w:t>
      </w:r>
      <w:r w:rsidR="00C65BE5" w:rsidRPr="007735CD">
        <w:t xml:space="preserve"> based on feedback from staff and members/clients. Public support for advocacy was generally mobilised by either holding an information meeting or running a media campaign while membership organisations tended to mobil</w:t>
      </w:r>
      <w:r w:rsidR="0005408A">
        <w:t>ise</w:t>
      </w:r>
      <w:r w:rsidR="00C65BE5" w:rsidRPr="007735CD">
        <w:t xml:space="preserve"> their members by actively involving them in campaigns or in policy briefings with policy ma</w:t>
      </w:r>
      <w:r w:rsidR="00881BE5">
        <w:t xml:space="preserve">kers.  Social media </w:t>
      </w:r>
      <w:r w:rsidR="00C65BE5" w:rsidRPr="007735CD">
        <w:t>was regarded as an increasingly important tool for advocacy work</w:t>
      </w:r>
      <w:r w:rsidR="00C65BE5" w:rsidRPr="007735CD">
        <w:rPr>
          <w:rFonts w:cs="HelveticaNeueLT-Roman"/>
        </w:rPr>
        <w:t>.</w:t>
      </w:r>
    </w:p>
    <w:p w14:paraId="067930B9" w14:textId="77777777" w:rsidR="00C65BE5" w:rsidRPr="007735CD" w:rsidRDefault="00C65BE5" w:rsidP="007735CD">
      <w:pPr>
        <w:pStyle w:val="ListParagraph"/>
        <w:autoSpaceDE w:val="0"/>
        <w:autoSpaceDN w:val="0"/>
        <w:adjustRightInd w:val="0"/>
        <w:spacing w:after="0" w:line="240" w:lineRule="auto"/>
      </w:pPr>
    </w:p>
    <w:p w14:paraId="59EDC7A0" w14:textId="77777777" w:rsidR="00C65BE5" w:rsidRPr="007735CD" w:rsidRDefault="00C65BE5" w:rsidP="00ED47A2">
      <w:pPr>
        <w:pStyle w:val="Heading2"/>
      </w:pPr>
      <w:bookmarkStart w:id="46" w:name="_Toc394492956"/>
      <w:bookmarkStart w:id="47" w:name="_Toc394493490"/>
      <w:r w:rsidRPr="007735CD">
        <w:t>3.3</w:t>
      </w:r>
      <w:r w:rsidRPr="007735CD">
        <w:tab/>
        <w:t xml:space="preserve">Relationships between the sector and </w:t>
      </w:r>
      <w:r w:rsidR="00523AEE">
        <w:t>the state</w:t>
      </w:r>
      <w:bookmarkEnd w:id="46"/>
      <w:bookmarkEnd w:id="47"/>
    </w:p>
    <w:p w14:paraId="12101EE4" w14:textId="53AB11E9" w:rsidR="00C65BE5" w:rsidRPr="007735CD" w:rsidRDefault="00C65BE5" w:rsidP="007735CD">
      <w:pPr>
        <w:autoSpaceDE w:val="0"/>
        <w:autoSpaceDN w:val="0"/>
        <w:adjustRightInd w:val="0"/>
        <w:spacing w:after="0" w:line="240" w:lineRule="auto"/>
        <w:rPr>
          <w:color w:val="000000" w:themeColor="text1"/>
        </w:rPr>
      </w:pPr>
      <w:r w:rsidRPr="007735CD">
        <w:rPr>
          <w:color w:val="000000" w:themeColor="text1"/>
        </w:rPr>
        <w:t xml:space="preserve">The White Paper Supporting Voluntary Activity (2000) provided the first formal policy level definition of the relationship between the state and the community and voluntary sector. It </w:t>
      </w:r>
      <w:r w:rsidR="0082302C">
        <w:rPr>
          <w:color w:val="000000" w:themeColor="text1"/>
        </w:rPr>
        <w:t xml:space="preserve">also </w:t>
      </w:r>
      <w:r w:rsidRPr="007735CD">
        <w:rPr>
          <w:color w:val="000000" w:themeColor="text1"/>
        </w:rPr>
        <w:t>affirmed the right of community and voluntary organisations to</w:t>
      </w:r>
      <w:r w:rsidR="00B52C2C">
        <w:rPr>
          <w:color w:val="000000" w:themeColor="text1"/>
        </w:rPr>
        <w:t>:</w:t>
      </w:r>
    </w:p>
    <w:p w14:paraId="0F7DDB89" w14:textId="1D03869E" w:rsidR="00C65BE5" w:rsidRPr="007735CD" w:rsidRDefault="00881BE5" w:rsidP="007C0CDD">
      <w:pPr>
        <w:pStyle w:val="ListParagraph"/>
        <w:numPr>
          <w:ilvl w:val="0"/>
          <w:numId w:val="9"/>
        </w:numPr>
        <w:autoSpaceDE w:val="0"/>
        <w:autoSpaceDN w:val="0"/>
        <w:adjustRightInd w:val="0"/>
        <w:spacing w:after="0" w:line="240" w:lineRule="auto"/>
        <w:rPr>
          <w:color w:val="000000" w:themeColor="text1"/>
        </w:rPr>
      </w:pPr>
      <w:r w:rsidRPr="007735CD">
        <w:rPr>
          <w:color w:val="000000" w:themeColor="text1"/>
        </w:rPr>
        <w:t>Speak</w:t>
      </w:r>
    </w:p>
    <w:p w14:paraId="6A5BCDEA" w14:textId="38D33EFF" w:rsidR="00C65BE5" w:rsidRPr="007735CD" w:rsidRDefault="00B52C2C" w:rsidP="007C0CDD">
      <w:pPr>
        <w:pStyle w:val="ListParagraph"/>
        <w:numPr>
          <w:ilvl w:val="0"/>
          <w:numId w:val="9"/>
        </w:numPr>
        <w:autoSpaceDE w:val="0"/>
        <w:autoSpaceDN w:val="0"/>
        <w:adjustRightInd w:val="0"/>
        <w:spacing w:after="0" w:line="240" w:lineRule="auto"/>
        <w:rPr>
          <w:color w:val="000000" w:themeColor="text1"/>
        </w:rPr>
      </w:pPr>
      <w:r>
        <w:rPr>
          <w:color w:val="000000" w:themeColor="text1"/>
        </w:rPr>
        <w:t>Be i</w:t>
      </w:r>
      <w:r w:rsidR="00881BE5" w:rsidRPr="007735CD">
        <w:rPr>
          <w:color w:val="000000" w:themeColor="text1"/>
        </w:rPr>
        <w:t>ndependen</w:t>
      </w:r>
      <w:r>
        <w:rPr>
          <w:color w:val="000000" w:themeColor="text1"/>
        </w:rPr>
        <w:t>t</w:t>
      </w:r>
      <w:r w:rsidR="00881BE5" w:rsidRPr="007735CD">
        <w:rPr>
          <w:color w:val="000000" w:themeColor="text1"/>
        </w:rPr>
        <w:t xml:space="preserve"> </w:t>
      </w:r>
    </w:p>
    <w:p w14:paraId="5EF77E38" w14:textId="4DC5E099" w:rsidR="00C65BE5" w:rsidRPr="007735CD" w:rsidRDefault="00B52C2C" w:rsidP="007C0CDD">
      <w:pPr>
        <w:pStyle w:val="ListParagraph"/>
        <w:numPr>
          <w:ilvl w:val="0"/>
          <w:numId w:val="9"/>
        </w:numPr>
        <w:autoSpaceDE w:val="0"/>
        <w:autoSpaceDN w:val="0"/>
        <w:adjustRightInd w:val="0"/>
        <w:spacing w:after="0" w:line="240" w:lineRule="auto"/>
        <w:rPr>
          <w:color w:val="000000" w:themeColor="text1"/>
        </w:rPr>
      </w:pPr>
      <w:r>
        <w:rPr>
          <w:color w:val="000000" w:themeColor="text1"/>
        </w:rPr>
        <w:t>Have f</w:t>
      </w:r>
      <w:r w:rsidR="00881BE5" w:rsidRPr="007735CD">
        <w:rPr>
          <w:color w:val="000000" w:themeColor="text1"/>
        </w:rPr>
        <w:t xml:space="preserve">reedom of action </w:t>
      </w:r>
    </w:p>
    <w:p w14:paraId="57B21FFB" w14:textId="231FD49A" w:rsidR="00C65BE5" w:rsidRPr="007735CD" w:rsidRDefault="00B52C2C" w:rsidP="007C0CDD">
      <w:pPr>
        <w:pStyle w:val="ListParagraph"/>
        <w:numPr>
          <w:ilvl w:val="0"/>
          <w:numId w:val="9"/>
        </w:numPr>
        <w:autoSpaceDE w:val="0"/>
        <w:autoSpaceDN w:val="0"/>
        <w:adjustRightInd w:val="0"/>
        <w:spacing w:after="0" w:line="240" w:lineRule="auto"/>
        <w:rPr>
          <w:color w:val="000000" w:themeColor="text1"/>
        </w:rPr>
      </w:pPr>
      <w:r>
        <w:rPr>
          <w:color w:val="000000" w:themeColor="text1"/>
        </w:rPr>
        <w:t>P</w:t>
      </w:r>
      <w:r w:rsidR="00881BE5">
        <w:rPr>
          <w:color w:val="000000" w:themeColor="text1"/>
        </w:rPr>
        <w:t>romot</w:t>
      </w:r>
      <w:r>
        <w:rPr>
          <w:color w:val="000000" w:themeColor="text1"/>
        </w:rPr>
        <w:t>e</w:t>
      </w:r>
      <w:r w:rsidR="00881BE5" w:rsidRPr="007735CD">
        <w:rPr>
          <w:color w:val="000000" w:themeColor="text1"/>
        </w:rPr>
        <w:t xml:space="preserve"> social inclusion</w:t>
      </w:r>
    </w:p>
    <w:p w14:paraId="6781C0C4" w14:textId="77777777" w:rsidR="00C65BE5" w:rsidRPr="007735CD" w:rsidRDefault="00C65BE5" w:rsidP="007735CD">
      <w:pPr>
        <w:autoSpaceDE w:val="0"/>
        <w:autoSpaceDN w:val="0"/>
        <w:adjustRightInd w:val="0"/>
        <w:spacing w:after="0" w:line="240" w:lineRule="auto"/>
        <w:rPr>
          <w:color w:val="000000" w:themeColor="text1"/>
        </w:rPr>
      </w:pPr>
    </w:p>
    <w:p w14:paraId="77CCFE36" w14:textId="77777777" w:rsidR="00C65BE5" w:rsidRPr="007735CD" w:rsidRDefault="0082302C" w:rsidP="007735CD">
      <w:pPr>
        <w:autoSpaceDE w:val="0"/>
        <w:autoSpaceDN w:val="0"/>
        <w:adjustRightInd w:val="0"/>
        <w:spacing w:after="0" w:line="240" w:lineRule="auto"/>
        <w:rPr>
          <w:color w:val="000000" w:themeColor="text1"/>
        </w:rPr>
      </w:pPr>
      <w:r>
        <w:rPr>
          <w:color w:val="000000" w:themeColor="text1"/>
        </w:rPr>
        <w:t>The p</w:t>
      </w:r>
      <w:r w:rsidR="00881BE5">
        <w:rPr>
          <w:color w:val="000000" w:themeColor="text1"/>
        </w:rPr>
        <w:t xml:space="preserve">aper also </w:t>
      </w:r>
      <w:r w:rsidR="00C65BE5" w:rsidRPr="007735CD">
        <w:rPr>
          <w:color w:val="000000" w:themeColor="text1"/>
        </w:rPr>
        <w:t xml:space="preserve">specified the need for ‘the state and the sector to each recognise their mutual right to constructively critique one another’s actions and policies’ and acknowledged ‘the role of the (community and voluntary) sector in inputting to policy making’.  </w:t>
      </w:r>
      <w:r>
        <w:rPr>
          <w:color w:val="000000" w:themeColor="text1"/>
        </w:rPr>
        <w:t>This p</w:t>
      </w:r>
      <w:r w:rsidR="0070099B">
        <w:rPr>
          <w:color w:val="000000" w:themeColor="text1"/>
        </w:rPr>
        <w:t xml:space="preserve">aper was however never fully implemented indeed the </w:t>
      </w:r>
      <w:r w:rsidR="00C65BE5" w:rsidRPr="007735CD">
        <w:rPr>
          <w:color w:val="000000" w:themeColor="text1"/>
        </w:rPr>
        <w:t xml:space="preserve">lack of implementation of some of the key strands of this White Paper (e.g. voluntary sector units within government department) was a huge disappointment and </w:t>
      </w:r>
      <w:r w:rsidR="0070099B">
        <w:rPr>
          <w:color w:val="000000" w:themeColor="text1"/>
        </w:rPr>
        <w:t>was thought by some to have damaged</w:t>
      </w:r>
      <w:r w:rsidR="00C65BE5" w:rsidRPr="007735CD">
        <w:rPr>
          <w:color w:val="000000" w:themeColor="text1"/>
        </w:rPr>
        <w:t xml:space="preserve"> the relationship between the community and voluntary sector and the state.</w:t>
      </w:r>
    </w:p>
    <w:p w14:paraId="0E4143BF" w14:textId="77777777" w:rsidR="00C65BE5" w:rsidRPr="007735CD" w:rsidRDefault="00C65BE5" w:rsidP="007735CD">
      <w:pPr>
        <w:autoSpaceDE w:val="0"/>
        <w:autoSpaceDN w:val="0"/>
        <w:adjustRightInd w:val="0"/>
        <w:spacing w:after="0" w:line="240" w:lineRule="auto"/>
        <w:rPr>
          <w:color w:val="000000" w:themeColor="text1"/>
        </w:rPr>
      </w:pPr>
    </w:p>
    <w:p w14:paraId="09BEDE37" w14:textId="172BDA42" w:rsidR="00A17684" w:rsidRDefault="00C65BE5" w:rsidP="007735CD">
      <w:pPr>
        <w:autoSpaceDE w:val="0"/>
        <w:autoSpaceDN w:val="0"/>
        <w:adjustRightInd w:val="0"/>
        <w:spacing w:after="0" w:line="240" w:lineRule="auto"/>
        <w:rPr>
          <w:color w:val="000000" w:themeColor="text1"/>
        </w:rPr>
      </w:pPr>
      <w:r w:rsidRPr="007735CD">
        <w:rPr>
          <w:color w:val="000000" w:themeColor="text1"/>
        </w:rPr>
        <w:t xml:space="preserve">Various pieces of research </w:t>
      </w:r>
      <w:r w:rsidR="00BE6F86">
        <w:rPr>
          <w:color w:val="000000" w:themeColor="text1"/>
        </w:rPr>
        <w:t xml:space="preserve">we commissioned over the lifetime of the Initiative </w:t>
      </w:r>
      <w:r w:rsidRPr="007735CD">
        <w:rPr>
          <w:color w:val="000000" w:themeColor="text1"/>
        </w:rPr>
        <w:t>found an uneasy relationship between the community and</w:t>
      </w:r>
      <w:r w:rsidR="0070099B">
        <w:rPr>
          <w:color w:val="000000" w:themeColor="text1"/>
        </w:rPr>
        <w:t xml:space="preserve"> voluntary sector and the state</w:t>
      </w:r>
      <w:r w:rsidRPr="007735CD">
        <w:rPr>
          <w:color w:val="000000" w:themeColor="text1"/>
        </w:rPr>
        <w:t xml:space="preserve">.  </w:t>
      </w:r>
      <w:r w:rsidR="001E3107">
        <w:rPr>
          <w:color w:val="000000" w:themeColor="text1"/>
        </w:rPr>
        <w:t xml:space="preserve">In some cases this </w:t>
      </w:r>
      <w:r w:rsidRPr="007735CD">
        <w:rPr>
          <w:color w:val="000000" w:themeColor="text1"/>
        </w:rPr>
        <w:t xml:space="preserve">uneasy relationship </w:t>
      </w:r>
      <w:r w:rsidR="00AA37B3">
        <w:rPr>
          <w:color w:val="000000" w:themeColor="text1"/>
        </w:rPr>
        <w:t xml:space="preserve">could be </w:t>
      </w:r>
      <w:r w:rsidRPr="007735CD">
        <w:rPr>
          <w:color w:val="000000" w:themeColor="text1"/>
        </w:rPr>
        <w:t xml:space="preserve">linked </w:t>
      </w:r>
      <w:r w:rsidR="0070099B">
        <w:rPr>
          <w:color w:val="000000" w:themeColor="text1"/>
        </w:rPr>
        <w:t xml:space="preserve">back </w:t>
      </w:r>
      <w:r w:rsidRPr="007735CD">
        <w:rPr>
          <w:color w:val="000000" w:themeColor="text1"/>
        </w:rPr>
        <w:t>to historical events</w:t>
      </w:r>
      <w:r w:rsidR="001E3107">
        <w:rPr>
          <w:color w:val="000000" w:themeColor="text1"/>
        </w:rPr>
        <w:t xml:space="preserve">.  </w:t>
      </w:r>
      <w:r w:rsidR="00A17684">
        <w:rPr>
          <w:color w:val="000000" w:themeColor="text1"/>
        </w:rPr>
        <w:t xml:space="preserve">The disparate and diverse nature of the community and voluntary organisations involved in the sector was also a source of some confusion, as was the limited nature of collaboration between organisations purporting to represent similar interests/groups.  </w:t>
      </w:r>
      <w:r w:rsidR="001E3107">
        <w:rPr>
          <w:color w:val="000000" w:themeColor="text1"/>
        </w:rPr>
        <w:t xml:space="preserve">In the case of the community and voluntary sector it was also clearly linked to the </w:t>
      </w:r>
      <w:r w:rsidRPr="007735CD">
        <w:rPr>
          <w:color w:val="000000" w:themeColor="text1"/>
        </w:rPr>
        <w:t>challenge of retaining independence in the context of the sectors dependency on reducing levels of state funding</w:t>
      </w:r>
      <w:r w:rsidR="00DA5CB7">
        <w:rPr>
          <w:color w:val="000000" w:themeColor="text1"/>
        </w:rPr>
        <w:t>.</w:t>
      </w:r>
      <w:r w:rsidR="001109BC">
        <w:rPr>
          <w:color w:val="000000" w:themeColor="text1"/>
        </w:rPr>
        <w:t xml:space="preserve"> </w:t>
      </w:r>
    </w:p>
    <w:p w14:paraId="7FB7361F" w14:textId="77777777" w:rsidR="00A17684" w:rsidRDefault="00A17684" w:rsidP="007735CD">
      <w:pPr>
        <w:autoSpaceDE w:val="0"/>
        <w:autoSpaceDN w:val="0"/>
        <w:adjustRightInd w:val="0"/>
        <w:spacing w:after="0" w:line="240" w:lineRule="auto"/>
        <w:rPr>
          <w:color w:val="000000" w:themeColor="text1"/>
        </w:rPr>
      </w:pPr>
    </w:p>
    <w:p w14:paraId="16C3BC26" w14:textId="0860E64E" w:rsidR="00110BE0" w:rsidRPr="007735CD" w:rsidRDefault="001E3107" w:rsidP="007735CD">
      <w:pPr>
        <w:autoSpaceDE w:val="0"/>
        <w:autoSpaceDN w:val="0"/>
        <w:adjustRightInd w:val="0"/>
        <w:spacing w:after="0" w:line="240" w:lineRule="auto"/>
        <w:rPr>
          <w:color w:val="000000" w:themeColor="text1"/>
        </w:rPr>
      </w:pPr>
      <w:r>
        <w:rPr>
          <w:color w:val="000000" w:themeColor="text1"/>
        </w:rPr>
        <w:t>The</w:t>
      </w:r>
      <w:r w:rsidR="00F16A04">
        <w:rPr>
          <w:color w:val="000000" w:themeColor="text1"/>
        </w:rPr>
        <w:t xml:space="preserve"> uneasy</w:t>
      </w:r>
      <w:r w:rsidR="00467371">
        <w:rPr>
          <w:color w:val="000000" w:themeColor="text1"/>
        </w:rPr>
        <w:t xml:space="preserve"> nature of the</w:t>
      </w:r>
      <w:r w:rsidR="00F16A04">
        <w:rPr>
          <w:color w:val="000000" w:themeColor="text1"/>
        </w:rPr>
        <w:t xml:space="preserve"> relationship was also clearly linked to the existence of different expectations of the role of the community and voluntary sector.  </w:t>
      </w:r>
      <w:r w:rsidR="006D67EE">
        <w:rPr>
          <w:color w:val="000000" w:themeColor="text1"/>
        </w:rPr>
        <w:t>Some policy</w:t>
      </w:r>
      <w:r w:rsidR="00AE0B01">
        <w:rPr>
          <w:color w:val="000000" w:themeColor="text1"/>
        </w:rPr>
        <w:t>-</w:t>
      </w:r>
      <w:r w:rsidR="006D67EE">
        <w:rPr>
          <w:color w:val="000000" w:themeColor="text1"/>
        </w:rPr>
        <w:t xml:space="preserve">makers for example considered ‘flexible on the ground’ local service provision to be the most important purpose of the sector, while others were of the view that advocacy work was core to what the sector did and that the sector was an important part of democracy. </w:t>
      </w:r>
      <w:r w:rsidR="00AA37B3">
        <w:rPr>
          <w:color w:val="000000" w:themeColor="text1"/>
        </w:rPr>
        <w:t xml:space="preserve"> For some the advocacy role of the sector was </w:t>
      </w:r>
      <w:r>
        <w:rPr>
          <w:color w:val="000000" w:themeColor="text1"/>
        </w:rPr>
        <w:t xml:space="preserve">intimately linked </w:t>
      </w:r>
      <w:r w:rsidR="00AA37B3">
        <w:rPr>
          <w:color w:val="000000" w:themeColor="text1"/>
        </w:rPr>
        <w:t>to their role as a source of information and evidence with questions raised about groups who did not engage in this type of activity.</w:t>
      </w:r>
      <w:r w:rsidR="00467371">
        <w:rPr>
          <w:color w:val="000000" w:themeColor="text1"/>
        </w:rPr>
        <w:t xml:space="preserve">  </w:t>
      </w:r>
      <w:r w:rsidR="00110BE0">
        <w:rPr>
          <w:color w:val="000000" w:themeColor="text1"/>
        </w:rPr>
        <w:t xml:space="preserve">Questions were also </w:t>
      </w:r>
      <w:r w:rsidR="00467371">
        <w:rPr>
          <w:color w:val="000000" w:themeColor="text1"/>
        </w:rPr>
        <w:t xml:space="preserve">about the </w:t>
      </w:r>
      <w:r w:rsidR="00110BE0">
        <w:rPr>
          <w:color w:val="000000" w:themeColor="text1"/>
        </w:rPr>
        <w:t>representative</w:t>
      </w:r>
      <w:r w:rsidR="00467371">
        <w:rPr>
          <w:color w:val="000000" w:themeColor="text1"/>
        </w:rPr>
        <w:t>ness</w:t>
      </w:r>
      <w:r w:rsidR="00110BE0">
        <w:rPr>
          <w:color w:val="000000" w:themeColor="text1"/>
        </w:rPr>
        <w:t xml:space="preserve"> of the sector</w:t>
      </w:r>
      <w:r w:rsidR="00467371">
        <w:rPr>
          <w:color w:val="000000" w:themeColor="text1"/>
        </w:rPr>
        <w:t xml:space="preserve"> in comparison with the democratic mandate of the politicians, who in many cases saw themselves as the ‘true advocates’.</w:t>
      </w:r>
    </w:p>
    <w:p w14:paraId="7B642EAC" w14:textId="77777777" w:rsidR="00C65BE5" w:rsidRPr="007735CD" w:rsidRDefault="00C65BE5" w:rsidP="007735CD">
      <w:pPr>
        <w:autoSpaceDE w:val="0"/>
        <w:autoSpaceDN w:val="0"/>
        <w:adjustRightInd w:val="0"/>
        <w:spacing w:after="0" w:line="240" w:lineRule="auto"/>
        <w:rPr>
          <w:color w:val="000000" w:themeColor="text1"/>
        </w:rPr>
      </w:pPr>
    </w:p>
    <w:p w14:paraId="4D5F842E" w14:textId="28CA5777" w:rsidR="00C65BE5" w:rsidRPr="007735CD" w:rsidRDefault="00C65BE5" w:rsidP="007735CD">
      <w:pPr>
        <w:autoSpaceDE w:val="0"/>
        <w:autoSpaceDN w:val="0"/>
        <w:adjustRightInd w:val="0"/>
        <w:spacing w:after="0" w:line="240" w:lineRule="auto"/>
        <w:rPr>
          <w:color w:val="000000" w:themeColor="text1"/>
        </w:rPr>
      </w:pPr>
      <w:r w:rsidRPr="007735CD">
        <w:rPr>
          <w:color w:val="000000" w:themeColor="text1"/>
        </w:rPr>
        <w:lastRenderedPageBreak/>
        <w:t>Policy</w:t>
      </w:r>
      <w:r w:rsidR="00AE0B01">
        <w:rPr>
          <w:color w:val="000000" w:themeColor="text1"/>
        </w:rPr>
        <w:t>-</w:t>
      </w:r>
      <w:r w:rsidRPr="007735CD">
        <w:rPr>
          <w:color w:val="000000" w:themeColor="text1"/>
        </w:rPr>
        <w:t xml:space="preserve">makers and influencers while they </w:t>
      </w:r>
      <w:r w:rsidR="00E47D6D">
        <w:rPr>
          <w:color w:val="000000" w:themeColor="text1"/>
        </w:rPr>
        <w:t xml:space="preserve">generally </w:t>
      </w:r>
      <w:r w:rsidRPr="007735CD">
        <w:rPr>
          <w:color w:val="000000" w:themeColor="text1"/>
        </w:rPr>
        <w:t>underst</w:t>
      </w:r>
      <w:r w:rsidR="006D67EE">
        <w:rPr>
          <w:color w:val="000000" w:themeColor="text1"/>
        </w:rPr>
        <w:t>oo</w:t>
      </w:r>
      <w:r w:rsidRPr="007735CD">
        <w:rPr>
          <w:color w:val="000000" w:themeColor="text1"/>
        </w:rPr>
        <w:t xml:space="preserve">d and </w:t>
      </w:r>
      <w:r w:rsidR="0070099B">
        <w:rPr>
          <w:color w:val="000000" w:themeColor="text1"/>
        </w:rPr>
        <w:t xml:space="preserve">in </w:t>
      </w:r>
      <w:r w:rsidRPr="007735CD">
        <w:rPr>
          <w:color w:val="000000" w:themeColor="text1"/>
        </w:rPr>
        <w:t>most cases accept</w:t>
      </w:r>
      <w:r w:rsidR="006D67EE">
        <w:rPr>
          <w:color w:val="000000" w:themeColor="text1"/>
        </w:rPr>
        <w:t>ed</w:t>
      </w:r>
      <w:r w:rsidRPr="007735CD">
        <w:rPr>
          <w:color w:val="000000" w:themeColor="text1"/>
        </w:rPr>
        <w:t xml:space="preserve"> </w:t>
      </w:r>
      <w:r w:rsidR="0070099B">
        <w:rPr>
          <w:color w:val="000000" w:themeColor="text1"/>
        </w:rPr>
        <w:t>and acknowledge</w:t>
      </w:r>
      <w:r w:rsidR="006D67EE">
        <w:rPr>
          <w:color w:val="000000" w:themeColor="text1"/>
        </w:rPr>
        <w:t>d</w:t>
      </w:r>
      <w:r w:rsidR="0070099B">
        <w:rPr>
          <w:color w:val="000000" w:themeColor="text1"/>
        </w:rPr>
        <w:t xml:space="preserve"> </w:t>
      </w:r>
      <w:r w:rsidRPr="007735CD">
        <w:rPr>
          <w:color w:val="000000" w:themeColor="text1"/>
        </w:rPr>
        <w:t>the role of advocacy by the sector in a democracy</w:t>
      </w:r>
      <w:r w:rsidR="0070099B">
        <w:rPr>
          <w:color w:val="000000" w:themeColor="text1"/>
        </w:rPr>
        <w:t xml:space="preserve"> there was a range of views on this role. </w:t>
      </w:r>
      <w:r w:rsidRPr="007735CD">
        <w:rPr>
          <w:color w:val="000000" w:themeColor="text1"/>
        </w:rPr>
        <w:t xml:space="preserve"> </w:t>
      </w:r>
      <w:r w:rsidR="0070099B">
        <w:rPr>
          <w:color w:val="000000" w:themeColor="text1"/>
        </w:rPr>
        <w:t>Some p</w:t>
      </w:r>
      <w:r w:rsidR="0070099B" w:rsidRPr="007735CD">
        <w:rPr>
          <w:color w:val="000000" w:themeColor="text1"/>
        </w:rPr>
        <w:t>olicy</w:t>
      </w:r>
      <w:r w:rsidR="00AE0B01">
        <w:rPr>
          <w:color w:val="000000" w:themeColor="text1"/>
        </w:rPr>
        <w:t>-</w:t>
      </w:r>
      <w:r w:rsidR="0070099B" w:rsidRPr="007735CD">
        <w:rPr>
          <w:color w:val="000000" w:themeColor="text1"/>
        </w:rPr>
        <w:t xml:space="preserve">makers </w:t>
      </w:r>
      <w:r w:rsidR="0070099B">
        <w:rPr>
          <w:color w:val="000000" w:themeColor="text1"/>
        </w:rPr>
        <w:t xml:space="preserve">were </w:t>
      </w:r>
      <w:r w:rsidRPr="007735CD">
        <w:rPr>
          <w:color w:val="000000" w:themeColor="text1"/>
        </w:rPr>
        <w:t>very positive about this role</w:t>
      </w:r>
      <w:r w:rsidRPr="007735CD">
        <w:rPr>
          <w:rFonts w:cs="Gotham-Book"/>
          <w:color w:val="4D4D4D"/>
        </w:rPr>
        <w:t xml:space="preserve"> </w:t>
      </w:r>
      <w:r w:rsidRPr="007735CD">
        <w:rPr>
          <w:color w:val="000000" w:themeColor="text1"/>
        </w:rPr>
        <w:t>(promoting and</w:t>
      </w:r>
      <w:r w:rsidRPr="007735CD">
        <w:rPr>
          <w:rFonts w:cs="Gotham-Book"/>
          <w:color w:val="4D4D4D"/>
        </w:rPr>
        <w:t xml:space="preserve"> </w:t>
      </w:r>
      <w:r w:rsidRPr="007735CD">
        <w:rPr>
          <w:color w:val="000000" w:themeColor="text1"/>
        </w:rPr>
        <w:t xml:space="preserve">encouraging advocacy), </w:t>
      </w:r>
      <w:r w:rsidR="0070099B">
        <w:rPr>
          <w:color w:val="000000" w:themeColor="text1"/>
        </w:rPr>
        <w:t xml:space="preserve">while </w:t>
      </w:r>
      <w:r w:rsidRPr="007735CD">
        <w:rPr>
          <w:color w:val="000000" w:themeColor="text1"/>
        </w:rPr>
        <w:t>others had negative perceptions about its practice (regarded by some as self-interested and unconnected to the experience)</w:t>
      </w:r>
      <w:r w:rsidR="00DA5CB7">
        <w:rPr>
          <w:color w:val="000000" w:themeColor="text1"/>
        </w:rPr>
        <w:t>,</w:t>
      </w:r>
      <w:r w:rsidRPr="007735CD">
        <w:rPr>
          <w:color w:val="000000" w:themeColor="text1"/>
        </w:rPr>
        <w:t xml:space="preserve"> with no-advocacy clauses (e.g. Service Level Agreements) introduced by some government agencies and organisations. There was also a view that some community and voluntary organisations engaged in social justice advocacy were not sufficiently familiar with policy </w:t>
      </w:r>
      <w:proofErr w:type="gramStart"/>
      <w:r w:rsidRPr="007735CD">
        <w:rPr>
          <w:color w:val="000000" w:themeColor="text1"/>
        </w:rPr>
        <w:t>making processes</w:t>
      </w:r>
      <w:r w:rsidR="00110BE0">
        <w:rPr>
          <w:color w:val="000000" w:themeColor="text1"/>
        </w:rPr>
        <w:t xml:space="preserve"> nor</w:t>
      </w:r>
      <w:proofErr w:type="gramEnd"/>
      <w:r w:rsidR="00110BE0">
        <w:rPr>
          <w:color w:val="000000" w:themeColor="text1"/>
        </w:rPr>
        <w:t xml:space="preserve"> indeed with the constraints facing policy</w:t>
      </w:r>
      <w:r w:rsidR="00AE0B01">
        <w:rPr>
          <w:color w:val="000000" w:themeColor="text1"/>
        </w:rPr>
        <w:t>-</w:t>
      </w:r>
      <w:r w:rsidR="00110BE0">
        <w:rPr>
          <w:color w:val="000000" w:themeColor="text1"/>
        </w:rPr>
        <w:t>makers.</w:t>
      </w:r>
    </w:p>
    <w:p w14:paraId="645EB0C0" w14:textId="77777777" w:rsidR="00C65BE5" w:rsidRPr="007735CD" w:rsidRDefault="00C65BE5" w:rsidP="007735CD">
      <w:pPr>
        <w:autoSpaceDE w:val="0"/>
        <w:autoSpaceDN w:val="0"/>
        <w:adjustRightInd w:val="0"/>
        <w:spacing w:after="0" w:line="240" w:lineRule="auto"/>
        <w:rPr>
          <w:color w:val="000000" w:themeColor="text1"/>
        </w:rPr>
      </w:pPr>
    </w:p>
    <w:p w14:paraId="47799529" w14:textId="27D08A73" w:rsidR="0005408A" w:rsidRPr="007735CD" w:rsidRDefault="00C65BE5" w:rsidP="007735CD">
      <w:pPr>
        <w:autoSpaceDE w:val="0"/>
        <w:autoSpaceDN w:val="0"/>
        <w:adjustRightInd w:val="0"/>
        <w:spacing w:after="0" w:line="240" w:lineRule="auto"/>
        <w:rPr>
          <w:color w:val="000000" w:themeColor="text1"/>
        </w:rPr>
      </w:pPr>
      <w:r w:rsidRPr="007735CD">
        <w:rPr>
          <w:color w:val="000000" w:themeColor="text1"/>
        </w:rPr>
        <w:t xml:space="preserve">The presence of such contradictory views at government </w:t>
      </w:r>
      <w:r w:rsidR="0070099B">
        <w:rPr>
          <w:color w:val="000000" w:themeColor="text1"/>
        </w:rPr>
        <w:t xml:space="preserve">and policy making </w:t>
      </w:r>
      <w:r w:rsidRPr="007735CD">
        <w:rPr>
          <w:color w:val="000000" w:themeColor="text1"/>
        </w:rPr>
        <w:t xml:space="preserve">level towards community and voluntary sector social justice advocacy </w:t>
      </w:r>
      <w:r w:rsidRPr="007735CD">
        <w:t xml:space="preserve">in turn </w:t>
      </w:r>
      <w:r w:rsidR="0070099B">
        <w:t xml:space="preserve">had </w:t>
      </w:r>
      <w:r w:rsidRPr="007735CD">
        <w:t>consequences for the community and voluntary sector organisations working in this area, who were not always clear what was possible and what was not.  Indeed some</w:t>
      </w:r>
      <w:r w:rsidRPr="007735CD">
        <w:rPr>
          <w:color w:val="000000" w:themeColor="text1"/>
        </w:rPr>
        <w:t xml:space="preserve"> community and voluntary organisations reported having been supported, funded, welcomed and respected for their social justice advocacy work, while others reported treading a fine line in what they say, aware that some government and public agencies were sensitive about particular topics or issues. A smaller number reported experiencing being threatened with funding cuts as a result of their advocacy activities.  </w:t>
      </w:r>
    </w:p>
    <w:p w14:paraId="2F99E935" w14:textId="77777777" w:rsidR="00C65BE5" w:rsidRPr="007735CD" w:rsidRDefault="00C65BE5" w:rsidP="009A7882">
      <w:pPr>
        <w:autoSpaceDE w:val="0"/>
        <w:autoSpaceDN w:val="0"/>
        <w:adjustRightInd w:val="0"/>
        <w:spacing w:after="0" w:line="240" w:lineRule="auto"/>
        <w:rPr>
          <w:color w:val="000000" w:themeColor="text1"/>
        </w:rPr>
      </w:pPr>
    </w:p>
    <w:p w14:paraId="27719B08" w14:textId="77777777" w:rsidR="00DA5CB7" w:rsidRDefault="00C65BE5" w:rsidP="007735CD">
      <w:pPr>
        <w:spacing w:line="240" w:lineRule="auto"/>
        <w:rPr>
          <w:color w:val="000000" w:themeColor="text1"/>
        </w:rPr>
      </w:pPr>
      <w:r w:rsidRPr="007735CD">
        <w:rPr>
          <w:color w:val="000000" w:themeColor="text1"/>
        </w:rPr>
        <w:t xml:space="preserve">Both community and voluntary organisations and </w:t>
      </w:r>
      <w:r w:rsidR="00EB2536">
        <w:rPr>
          <w:color w:val="000000" w:themeColor="text1"/>
        </w:rPr>
        <w:t xml:space="preserve">policy makers </w:t>
      </w:r>
      <w:r w:rsidRPr="007735CD">
        <w:rPr>
          <w:color w:val="000000" w:themeColor="text1"/>
        </w:rPr>
        <w:t xml:space="preserve">reported a positive bias among government and its agencies for organisations who undertook </w:t>
      </w:r>
      <w:r w:rsidR="00EB2536">
        <w:rPr>
          <w:color w:val="000000" w:themeColor="text1"/>
        </w:rPr>
        <w:t xml:space="preserve">both </w:t>
      </w:r>
      <w:r w:rsidRPr="007735CD">
        <w:rPr>
          <w:color w:val="000000" w:themeColor="text1"/>
        </w:rPr>
        <w:t xml:space="preserve">advocacy work and service provision.  </w:t>
      </w:r>
    </w:p>
    <w:p w14:paraId="3E945B7D" w14:textId="758A445F" w:rsidR="00C65BE5" w:rsidRDefault="00C65BE5" w:rsidP="007735CD">
      <w:pPr>
        <w:spacing w:line="240" w:lineRule="auto"/>
        <w:rPr>
          <w:color w:val="000000" w:themeColor="text1"/>
        </w:rPr>
      </w:pPr>
      <w:r w:rsidRPr="007735CD">
        <w:rPr>
          <w:color w:val="000000" w:themeColor="text1"/>
        </w:rPr>
        <w:t>There was also a view that the lack of regard and in some case</w:t>
      </w:r>
      <w:r w:rsidR="0044402C">
        <w:rPr>
          <w:color w:val="000000" w:themeColor="text1"/>
        </w:rPr>
        <w:t>s</w:t>
      </w:r>
      <w:r w:rsidRPr="007735CD">
        <w:rPr>
          <w:color w:val="000000" w:themeColor="text1"/>
        </w:rPr>
        <w:t xml:space="preserve"> negative perceptions of social justice advocacy had driven it underground in terms of reporting</w:t>
      </w:r>
      <w:r w:rsidR="00EB2536">
        <w:rPr>
          <w:color w:val="000000" w:themeColor="text1"/>
        </w:rPr>
        <w:t>,</w:t>
      </w:r>
      <w:r w:rsidRPr="007735CD">
        <w:rPr>
          <w:color w:val="000000" w:themeColor="text1"/>
        </w:rPr>
        <w:t xml:space="preserve"> and </w:t>
      </w:r>
      <w:r w:rsidR="00EB2536">
        <w:rPr>
          <w:color w:val="000000" w:themeColor="text1"/>
        </w:rPr>
        <w:t xml:space="preserve">had resulted in some </w:t>
      </w:r>
      <w:r w:rsidRPr="007735CD">
        <w:rPr>
          <w:color w:val="000000" w:themeColor="text1"/>
        </w:rPr>
        <w:t>communit</w:t>
      </w:r>
      <w:r w:rsidR="00EB2536">
        <w:rPr>
          <w:color w:val="000000" w:themeColor="text1"/>
        </w:rPr>
        <w:t xml:space="preserve">y and voluntary </w:t>
      </w:r>
      <w:r w:rsidR="001E41EA">
        <w:rPr>
          <w:color w:val="000000" w:themeColor="text1"/>
        </w:rPr>
        <w:t>group</w:t>
      </w:r>
      <w:r w:rsidR="00EB2536">
        <w:rPr>
          <w:color w:val="000000" w:themeColor="text1"/>
        </w:rPr>
        <w:t xml:space="preserve"> organisations </w:t>
      </w:r>
      <w:r w:rsidRPr="007735CD">
        <w:rPr>
          <w:color w:val="000000" w:themeColor="text1"/>
        </w:rPr>
        <w:t>being very closely scrutinised to ensure that advocacy work was not being supported.</w:t>
      </w:r>
    </w:p>
    <w:p w14:paraId="20D61FD2" w14:textId="08AB6A86" w:rsidR="00C65BE5" w:rsidRPr="007735CD" w:rsidRDefault="00C65BE5" w:rsidP="00ED47A2">
      <w:pPr>
        <w:pStyle w:val="Heading2"/>
      </w:pPr>
      <w:bookmarkStart w:id="48" w:name="_Toc394492957"/>
      <w:bookmarkStart w:id="49" w:name="_Toc394493491"/>
      <w:r w:rsidRPr="007735CD">
        <w:t>3.4</w:t>
      </w:r>
      <w:r w:rsidRPr="007735CD">
        <w:tab/>
        <w:t>Relations with others (including the media &amp; trade unions)</w:t>
      </w:r>
      <w:bookmarkEnd w:id="48"/>
      <w:bookmarkEnd w:id="49"/>
    </w:p>
    <w:p w14:paraId="0893101E" w14:textId="77777777" w:rsidR="00C65BE5" w:rsidRPr="007735CD" w:rsidRDefault="00C65BE5" w:rsidP="00ED47A2">
      <w:pPr>
        <w:pStyle w:val="Heading3"/>
      </w:pPr>
      <w:bookmarkStart w:id="50" w:name="_Toc394492958"/>
      <w:r w:rsidRPr="007735CD">
        <w:t>Relations with the media</w:t>
      </w:r>
      <w:bookmarkEnd w:id="50"/>
    </w:p>
    <w:p w14:paraId="0CDE0586" w14:textId="65C0D6F8" w:rsidR="00EB2536" w:rsidRDefault="00C65BE5" w:rsidP="007735CD">
      <w:pPr>
        <w:autoSpaceDE w:val="0"/>
        <w:autoSpaceDN w:val="0"/>
        <w:adjustRightInd w:val="0"/>
        <w:spacing w:after="0" w:line="240" w:lineRule="auto"/>
        <w:rPr>
          <w:color w:val="000000" w:themeColor="text1"/>
        </w:rPr>
      </w:pPr>
      <w:r w:rsidRPr="007735CD">
        <w:rPr>
          <w:color w:val="000000" w:themeColor="text1"/>
        </w:rPr>
        <w:t>The word</w:t>
      </w:r>
      <w:r w:rsidR="00EB2536">
        <w:rPr>
          <w:color w:val="000000" w:themeColor="text1"/>
        </w:rPr>
        <w:t xml:space="preserve"> most used</w:t>
      </w:r>
      <w:r w:rsidRPr="007735CD">
        <w:rPr>
          <w:color w:val="000000" w:themeColor="text1"/>
        </w:rPr>
        <w:t xml:space="preserve"> </w:t>
      </w:r>
      <w:r w:rsidR="00EB2536">
        <w:rPr>
          <w:color w:val="000000" w:themeColor="text1"/>
        </w:rPr>
        <w:t>and perhaps most apt in terms of describing</w:t>
      </w:r>
      <w:r w:rsidRPr="007735CD">
        <w:rPr>
          <w:color w:val="000000" w:themeColor="text1"/>
        </w:rPr>
        <w:t xml:space="preserve"> the relationship between the community and voluntary sector and the media was </w:t>
      </w:r>
      <w:r w:rsidR="00EB2536">
        <w:rPr>
          <w:color w:val="000000" w:themeColor="text1"/>
        </w:rPr>
        <w:t>‘</w:t>
      </w:r>
      <w:r w:rsidRPr="007735CD">
        <w:rPr>
          <w:color w:val="000000" w:themeColor="text1"/>
        </w:rPr>
        <w:t>underdeveloped</w:t>
      </w:r>
      <w:r w:rsidR="00EB2536">
        <w:rPr>
          <w:color w:val="000000" w:themeColor="text1"/>
        </w:rPr>
        <w:t>’</w:t>
      </w:r>
      <w:r w:rsidRPr="007735CD">
        <w:rPr>
          <w:color w:val="000000" w:themeColor="text1"/>
        </w:rPr>
        <w:t xml:space="preserve">.  Although there are </w:t>
      </w:r>
      <w:r w:rsidR="00EB2536">
        <w:rPr>
          <w:color w:val="000000" w:themeColor="text1"/>
        </w:rPr>
        <w:t xml:space="preserve">of course </w:t>
      </w:r>
      <w:r w:rsidRPr="007735CD">
        <w:rPr>
          <w:color w:val="000000" w:themeColor="text1"/>
        </w:rPr>
        <w:t xml:space="preserve">examples of where community and voluntary organisations have successfully used the media to influence public opinion and ultimately lever social change.  </w:t>
      </w:r>
      <w:r w:rsidR="00F42E1A">
        <w:rPr>
          <w:color w:val="000000" w:themeColor="text1"/>
        </w:rPr>
        <w:t>It is also the case that some community and voluntary organisations have had negative experiences in relation to their engagement with the media and this has made them wary in relation to further engagement.</w:t>
      </w:r>
    </w:p>
    <w:p w14:paraId="3C86A91E" w14:textId="77777777" w:rsidR="00EB2536" w:rsidRDefault="00EB2536" w:rsidP="007735CD">
      <w:pPr>
        <w:autoSpaceDE w:val="0"/>
        <w:autoSpaceDN w:val="0"/>
        <w:adjustRightInd w:val="0"/>
        <w:spacing w:after="0" w:line="240" w:lineRule="auto"/>
        <w:rPr>
          <w:color w:val="000000" w:themeColor="text1"/>
        </w:rPr>
      </w:pPr>
    </w:p>
    <w:p w14:paraId="1512A9A9" w14:textId="0BEE0637" w:rsidR="00C65BE5" w:rsidRPr="007735CD" w:rsidRDefault="00C65BE5" w:rsidP="007735CD">
      <w:pPr>
        <w:autoSpaceDE w:val="0"/>
        <w:autoSpaceDN w:val="0"/>
        <w:adjustRightInd w:val="0"/>
        <w:spacing w:after="0" w:line="240" w:lineRule="auto"/>
        <w:rPr>
          <w:color w:val="000000" w:themeColor="text1"/>
        </w:rPr>
      </w:pPr>
      <w:r w:rsidRPr="007735CD">
        <w:rPr>
          <w:color w:val="000000" w:themeColor="text1"/>
        </w:rPr>
        <w:t>Discussions with media person</w:t>
      </w:r>
      <w:r w:rsidR="009E5A21">
        <w:rPr>
          <w:color w:val="000000" w:themeColor="text1"/>
        </w:rPr>
        <w:t>nel</w:t>
      </w:r>
      <w:r w:rsidRPr="007735CD">
        <w:rPr>
          <w:color w:val="000000" w:themeColor="text1"/>
        </w:rPr>
        <w:t xml:space="preserve"> led to the identification of a series of practical suggestions to enhance the sect</w:t>
      </w:r>
      <w:r w:rsidR="00EB2536">
        <w:rPr>
          <w:color w:val="000000" w:themeColor="text1"/>
        </w:rPr>
        <w:t xml:space="preserve">ors engagement with the media. </w:t>
      </w:r>
      <w:r w:rsidR="00BE6F86">
        <w:rPr>
          <w:color w:val="000000" w:themeColor="text1"/>
        </w:rPr>
        <w:t>See Table 3.3</w:t>
      </w:r>
      <w:r w:rsidRPr="007735CD">
        <w:rPr>
          <w:color w:val="000000" w:themeColor="text1"/>
        </w:rPr>
        <w:t xml:space="preserve"> for a summary of these suggestions.</w:t>
      </w:r>
    </w:p>
    <w:p w14:paraId="08036FFF" w14:textId="77777777" w:rsidR="00C65BE5" w:rsidRPr="007735CD" w:rsidRDefault="00C65BE5" w:rsidP="007735CD">
      <w:pPr>
        <w:autoSpaceDE w:val="0"/>
        <w:autoSpaceDN w:val="0"/>
        <w:adjustRightInd w:val="0"/>
        <w:spacing w:after="0" w:line="240" w:lineRule="auto"/>
        <w:rPr>
          <w:color w:val="000000" w:themeColor="text1"/>
        </w:rPr>
      </w:pPr>
    </w:p>
    <w:tbl>
      <w:tblPr>
        <w:tblStyle w:val="TableGrid1"/>
        <w:tblW w:w="0" w:type="auto"/>
        <w:tblLook w:val="04A0" w:firstRow="1" w:lastRow="0" w:firstColumn="1" w:lastColumn="0" w:noHBand="0" w:noVBand="1"/>
      </w:tblPr>
      <w:tblGrid>
        <w:gridCol w:w="2802"/>
        <w:gridCol w:w="6440"/>
      </w:tblGrid>
      <w:tr w:rsidR="00C65BE5" w:rsidRPr="007735CD" w14:paraId="3CB6CA1C" w14:textId="77777777" w:rsidTr="007735CD">
        <w:tc>
          <w:tcPr>
            <w:tcW w:w="9242" w:type="dxa"/>
            <w:gridSpan w:val="2"/>
            <w:shd w:val="clear" w:color="auto" w:fill="CCC0D9" w:themeFill="accent4" w:themeFillTint="66"/>
          </w:tcPr>
          <w:p w14:paraId="06EC3493" w14:textId="545668BF" w:rsidR="00C65BE5" w:rsidRPr="007735CD" w:rsidRDefault="0056120D" w:rsidP="00ED47A2">
            <w:pPr>
              <w:pStyle w:val="Heading4"/>
              <w:outlineLvl w:val="3"/>
            </w:pPr>
            <w:r>
              <w:t xml:space="preserve">Table 3.3 - </w:t>
            </w:r>
            <w:r w:rsidR="00C65BE5" w:rsidRPr="007735CD">
              <w:t>Suggestions to enhance the sectors engagement with the media</w:t>
            </w:r>
          </w:p>
          <w:p w14:paraId="2EA9A1F4" w14:textId="77777777" w:rsidR="00C65BE5" w:rsidRPr="007735CD" w:rsidRDefault="00C65BE5" w:rsidP="007735CD">
            <w:pPr>
              <w:rPr>
                <w:b/>
                <w:sz w:val="22"/>
                <w:szCs w:val="22"/>
              </w:rPr>
            </w:pPr>
          </w:p>
        </w:tc>
      </w:tr>
      <w:tr w:rsidR="00C65BE5" w:rsidRPr="007735CD" w14:paraId="6C1E0984" w14:textId="77777777" w:rsidTr="007735CD">
        <w:tc>
          <w:tcPr>
            <w:tcW w:w="2802" w:type="dxa"/>
            <w:shd w:val="clear" w:color="auto" w:fill="CCC0D9" w:themeFill="accent4" w:themeFillTint="66"/>
          </w:tcPr>
          <w:p w14:paraId="4B745E0D" w14:textId="77777777" w:rsidR="00C65BE5" w:rsidRPr="007735CD" w:rsidRDefault="00C65BE5" w:rsidP="007735CD">
            <w:pPr>
              <w:rPr>
                <w:i/>
                <w:sz w:val="22"/>
                <w:szCs w:val="22"/>
              </w:rPr>
            </w:pPr>
            <w:r w:rsidRPr="007735CD">
              <w:rPr>
                <w:i/>
                <w:sz w:val="22"/>
                <w:szCs w:val="22"/>
              </w:rPr>
              <w:t>Suggestion</w:t>
            </w:r>
          </w:p>
        </w:tc>
        <w:tc>
          <w:tcPr>
            <w:tcW w:w="6440" w:type="dxa"/>
            <w:shd w:val="clear" w:color="auto" w:fill="CCC0D9" w:themeFill="accent4" w:themeFillTint="66"/>
          </w:tcPr>
          <w:p w14:paraId="4A48F64F" w14:textId="77777777" w:rsidR="00C65BE5" w:rsidRPr="007735CD" w:rsidRDefault="00C65BE5" w:rsidP="007735CD">
            <w:pPr>
              <w:rPr>
                <w:rFonts w:cs="Helvetica"/>
                <w:i/>
                <w:sz w:val="22"/>
                <w:szCs w:val="22"/>
              </w:rPr>
            </w:pPr>
            <w:r w:rsidRPr="007735CD">
              <w:rPr>
                <w:rFonts w:cs="Helvetica"/>
                <w:i/>
                <w:sz w:val="22"/>
                <w:szCs w:val="22"/>
              </w:rPr>
              <w:t>Description</w:t>
            </w:r>
          </w:p>
        </w:tc>
      </w:tr>
      <w:tr w:rsidR="00C65BE5" w:rsidRPr="007735CD" w14:paraId="04E73696" w14:textId="77777777" w:rsidTr="007735CD">
        <w:tc>
          <w:tcPr>
            <w:tcW w:w="2802" w:type="dxa"/>
          </w:tcPr>
          <w:p w14:paraId="575FFE78" w14:textId="0ACE195A" w:rsidR="00C65BE5" w:rsidRPr="007735CD" w:rsidRDefault="00C65BE5" w:rsidP="007735CD">
            <w:pPr>
              <w:rPr>
                <w:sz w:val="22"/>
                <w:szCs w:val="22"/>
              </w:rPr>
            </w:pPr>
            <w:r w:rsidRPr="007735CD">
              <w:rPr>
                <w:sz w:val="22"/>
                <w:szCs w:val="22"/>
              </w:rPr>
              <w:t xml:space="preserve">Identify </w:t>
            </w:r>
            <w:r w:rsidR="0044402C">
              <w:rPr>
                <w:sz w:val="22"/>
                <w:szCs w:val="22"/>
              </w:rPr>
              <w:t>s</w:t>
            </w:r>
            <w:r w:rsidRPr="007735CD">
              <w:rPr>
                <w:sz w:val="22"/>
                <w:szCs w:val="22"/>
              </w:rPr>
              <w:t xml:space="preserve">pokespeople </w:t>
            </w:r>
          </w:p>
        </w:tc>
        <w:tc>
          <w:tcPr>
            <w:tcW w:w="6440" w:type="dxa"/>
          </w:tcPr>
          <w:p w14:paraId="18B222A1" w14:textId="77777777" w:rsidR="00C65BE5" w:rsidRPr="007735CD" w:rsidRDefault="00C65BE5" w:rsidP="007735CD">
            <w:pPr>
              <w:rPr>
                <w:rFonts w:cs="Helvetica"/>
                <w:sz w:val="22"/>
                <w:szCs w:val="22"/>
              </w:rPr>
            </w:pPr>
            <w:r w:rsidRPr="007735CD">
              <w:rPr>
                <w:rFonts w:cs="Helvetica"/>
                <w:sz w:val="22"/>
                <w:szCs w:val="22"/>
              </w:rPr>
              <w:t>It is useful to have a clear, easily identifiable spokesperson. It is important to remember that there is also fatigue with ‘paid’ spokespeople, and if possible it is useful to have people who have/are experienced the issues speak.</w:t>
            </w:r>
          </w:p>
        </w:tc>
      </w:tr>
      <w:tr w:rsidR="00C65BE5" w:rsidRPr="007735CD" w14:paraId="7C7720BD" w14:textId="77777777" w:rsidTr="007735CD">
        <w:tc>
          <w:tcPr>
            <w:tcW w:w="2802" w:type="dxa"/>
          </w:tcPr>
          <w:p w14:paraId="3525BF88" w14:textId="45858FDE" w:rsidR="00C65BE5" w:rsidRPr="007735CD" w:rsidRDefault="00C65BE5" w:rsidP="007735CD">
            <w:pPr>
              <w:rPr>
                <w:sz w:val="22"/>
                <w:szCs w:val="22"/>
              </w:rPr>
            </w:pPr>
            <w:r w:rsidRPr="007735CD">
              <w:rPr>
                <w:rFonts w:cs="Helvetica-Bold"/>
                <w:bCs/>
                <w:sz w:val="22"/>
                <w:szCs w:val="22"/>
              </w:rPr>
              <w:t>React to the issues in emerging news items</w:t>
            </w:r>
          </w:p>
        </w:tc>
        <w:tc>
          <w:tcPr>
            <w:tcW w:w="6440" w:type="dxa"/>
          </w:tcPr>
          <w:p w14:paraId="0431903D" w14:textId="77777777" w:rsidR="00C65BE5" w:rsidRPr="007735CD" w:rsidRDefault="00C65BE5" w:rsidP="007735CD">
            <w:pPr>
              <w:rPr>
                <w:sz w:val="22"/>
                <w:szCs w:val="22"/>
              </w:rPr>
            </w:pPr>
            <w:r w:rsidRPr="007735CD">
              <w:rPr>
                <w:rFonts w:cs="Helvetica"/>
                <w:sz w:val="22"/>
                <w:szCs w:val="22"/>
              </w:rPr>
              <w:t>If a breaking story is relevant, react with your messages, providing commentary that can then be incorporated into existing coverage, rather than trying to generate new news items.</w:t>
            </w:r>
          </w:p>
        </w:tc>
      </w:tr>
      <w:tr w:rsidR="00C65BE5" w:rsidRPr="007735CD" w14:paraId="7B6A46DE" w14:textId="77777777" w:rsidTr="007735CD">
        <w:tc>
          <w:tcPr>
            <w:tcW w:w="2802" w:type="dxa"/>
          </w:tcPr>
          <w:p w14:paraId="012FF5CA" w14:textId="657F087E" w:rsidR="00C65BE5" w:rsidRPr="007735CD" w:rsidRDefault="00C65BE5" w:rsidP="007735CD">
            <w:pPr>
              <w:rPr>
                <w:sz w:val="22"/>
                <w:szCs w:val="22"/>
              </w:rPr>
            </w:pPr>
            <w:r w:rsidRPr="007735CD">
              <w:rPr>
                <w:rFonts w:cs="Helvetica-Bold"/>
                <w:bCs/>
                <w:sz w:val="22"/>
                <w:szCs w:val="22"/>
              </w:rPr>
              <w:t>Build relationships</w:t>
            </w:r>
          </w:p>
        </w:tc>
        <w:tc>
          <w:tcPr>
            <w:tcW w:w="6440" w:type="dxa"/>
          </w:tcPr>
          <w:p w14:paraId="27F4F511" w14:textId="77777777" w:rsidR="00C65BE5" w:rsidRPr="007735CD" w:rsidRDefault="00C65BE5" w:rsidP="007735CD">
            <w:pPr>
              <w:rPr>
                <w:rFonts w:cs="Helvetica"/>
                <w:sz w:val="22"/>
                <w:szCs w:val="22"/>
              </w:rPr>
            </w:pPr>
            <w:r w:rsidRPr="007735CD">
              <w:rPr>
                <w:rFonts w:cs="Helvetica"/>
                <w:sz w:val="22"/>
                <w:szCs w:val="22"/>
              </w:rPr>
              <w:t>Cultivate particular media contacts, keep in touch where possible provide off the record briefings and information to keep them up to date on the issues.</w:t>
            </w:r>
          </w:p>
        </w:tc>
      </w:tr>
      <w:tr w:rsidR="00C65BE5" w:rsidRPr="007735CD" w14:paraId="1062C5B8" w14:textId="77777777" w:rsidTr="007735CD">
        <w:tc>
          <w:tcPr>
            <w:tcW w:w="2802" w:type="dxa"/>
          </w:tcPr>
          <w:p w14:paraId="372DB91C" w14:textId="77777777" w:rsidR="00C65BE5" w:rsidRPr="007735CD" w:rsidRDefault="00C65BE5" w:rsidP="007735CD">
            <w:pPr>
              <w:rPr>
                <w:sz w:val="22"/>
                <w:szCs w:val="22"/>
              </w:rPr>
            </w:pPr>
            <w:r w:rsidRPr="007735CD">
              <w:rPr>
                <w:rFonts w:cs="Helvetica-Bold"/>
                <w:bCs/>
                <w:sz w:val="22"/>
                <w:szCs w:val="22"/>
              </w:rPr>
              <w:lastRenderedPageBreak/>
              <w:t>Target news</w:t>
            </w:r>
          </w:p>
        </w:tc>
        <w:tc>
          <w:tcPr>
            <w:tcW w:w="6440" w:type="dxa"/>
          </w:tcPr>
          <w:p w14:paraId="70232C2E" w14:textId="77777777" w:rsidR="00C65BE5" w:rsidRPr="007735CD" w:rsidRDefault="00C65BE5" w:rsidP="007735CD">
            <w:pPr>
              <w:rPr>
                <w:rFonts w:cs="Helvetica"/>
                <w:sz w:val="22"/>
                <w:szCs w:val="22"/>
              </w:rPr>
            </w:pPr>
            <w:r w:rsidRPr="007735CD">
              <w:rPr>
                <w:rFonts w:cs="Helvetica"/>
                <w:sz w:val="22"/>
                <w:szCs w:val="22"/>
              </w:rPr>
              <w:t>Exclusives are still important, as is targeting a story. It may well turn out that other news outlets will pick up a story that has already been published.</w:t>
            </w:r>
          </w:p>
        </w:tc>
      </w:tr>
      <w:tr w:rsidR="00C65BE5" w:rsidRPr="007735CD" w14:paraId="137AB692" w14:textId="77777777" w:rsidTr="007735CD">
        <w:tc>
          <w:tcPr>
            <w:tcW w:w="2802" w:type="dxa"/>
          </w:tcPr>
          <w:p w14:paraId="3847D1A0" w14:textId="00DD417A" w:rsidR="00C65BE5" w:rsidRPr="007735CD" w:rsidRDefault="00C65BE5" w:rsidP="007735CD">
            <w:pPr>
              <w:rPr>
                <w:sz w:val="22"/>
                <w:szCs w:val="22"/>
              </w:rPr>
            </w:pPr>
            <w:r w:rsidRPr="007735CD">
              <w:rPr>
                <w:rFonts w:cs="Helvetica-Bold"/>
                <w:bCs/>
                <w:sz w:val="22"/>
                <w:szCs w:val="22"/>
              </w:rPr>
              <w:t>Use the power of the individual voice/story</w:t>
            </w:r>
          </w:p>
        </w:tc>
        <w:tc>
          <w:tcPr>
            <w:tcW w:w="6440" w:type="dxa"/>
          </w:tcPr>
          <w:p w14:paraId="3641C04A" w14:textId="567E34EC" w:rsidR="00C65BE5" w:rsidRPr="007735CD" w:rsidRDefault="00C65BE5" w:rsidP="007735CD">
            <w:pPr>
              <w:rPr>
                <w:sz w:val="22"/>
                <w:szCs w:val="22"/>
              </w:rPr>
            </w:pPr>
            <w:r w:rsidRPr="007735CD">
              <w:rPr>
                <w:rFonts w:cs="Helvetica"/>
                <w:sz w:val="22"/>
                <w:szCs w:val="22"/>
              </w:rPr>
              <w:t>Use the media’s need for individual stories to leverage social change</w:t>
            </w:r>
            <w:r w:rsidR="0044402C">
              <w:rPr>
                <w:rFonts w:cs="Helvetica"/>
                <w:sz w:val="22"/>
                <w:szCs w:val="22"/>
              </w:rPr>
              <w:t>.</w:t>
            </w:r>
          </w:p>
        </w:tc>
      </w:tr>
      <w:tr w:rsidR="00C65BE5" w:rsidRPr="007735CD" w14:paraId="675EA707" w14:textId="77777777" w:rsidTr="007735CD">
        <w:tc>
          <w:tcPr>
            <w:tcW w:w="2802" w:type="dxa"/>
          </w:tcPr>
          <w:p w14:paraId="65BAB0CA" w14:textId="77777777" w:rsidR="00C65BE5" w:rsidRPr="007735CD" w:rsidRDefault="00C65BE5" w:rsidP="007735CD">
            <w:pPr>
              <w:rPr>
                <w:sz w:val="22"/>
                <w:szCs w:val="22"/>
              </w:rPr>
            </w:pPr>
            <w:r w:rsidRPr="007735CD">
              <w:rPr>
                <w:sz w:val="22"/>
                <w:szCs w:val="22"/>
              </w:rPr>
              <w:t xml:space="preserve">Supply pictures </w:t>
            </w:r>
          </w:p>
        </w:tc>
        <w:tc>
          <w:tcPr>
            <w:tcW w:w="6440" w:type="dxa"/>
          </w:tcPr>
          <w:p w14:paraId="461D2699" w14:textId="77777777" w:rsidR="00C65BE5" w:rsidRPr="007735CD" w:rsidRDefault="00C65BE5" w:rsidP="007735CD">
            <w:pPr>
              <w:rPr>
                <w:rFonts w:cs="Helvetica"/>
                <w:sz w:val="22"/>
                <w:szCs w:val="22"/>
              </w:rPr>
            </w:pPr>
            <w:r w:rsidRPr="007735CD">
              <w:rPr>
                <w:rFonts w:cs="Helvetica"/>
                <w:sz w:val="22"/>
                <w:szCs w:val="22"/>
              </w:rPr>
              <w:t xml:space="preserve">Photos are </w:t>
            </w:r>
            <w:proofErr w:type="gramStart"/>
            <w:r w:rsidRPr="007735CD">
              <w:rPr>
                <w:rFonts w:cs="Helvetica"/>
                <w:sz w:val="22"/>
                <w:szCs w:val="22"/>
              </w:rPr>
              <w:t>important,</w:t>
            </w:r>
            <w:proofErr w:type="gramEnd"/>
            <w:r w:rsidRPr="007735CD">
              <w:rPr>
                <w:rFonts w:cs="Helvetica"/>
                <w:sz w:val="22"/>
                <w:szCs w:val="22"/>
              </w:rPr>
              <w:t xml:space="preserve"> particularly images that tell the story, sending multiple images can be helpful in securing news coverage, particularly for online outlets.</w:t>
            </w:r>
          </w:p>
        </w:tc>
      </w:tr>
      <w:tr w:rsidR="00C65BE5" w:rsidRPr="007735CD" w14:paraId="7ED4265B" w14:textId="77777777" w:rsidTr="007735CD">
        <w:tc>
          <w:tcPr>
            <w:tcW w:w="2802" w:type="dxa"/>
          </w:tcPr>
          <w:p w14:paraId="353AA384" w14:textId="77777777" w:rsidR="00C65BE5" w:rsidRPr="007735CD" w:rsidRDefault="00C65BE5" w:rsidP="007735CD">
            <w:pPr>
              <w:rPr>
                <w:sz w:val="22"/>
                <w:szCs w:val="22"/>
              </w:rPr>
            </w:pPr>
            <w:r w:rsidRPr="007735CD">
              <w:rPr>
                <w:rFonts w:cs="Helvetica-Bold"/>
                <w:bCs/>
                <w:sz w:val="22"/>
                <w:szCs w:val="22"/>
              </w:rPr>
              <w:t>Be passionate</w:t>
            </w:r>
          </w:p>
        </w:tc>
        <w:tc>
          <w:tcPr>
            <w:tcW w:w="6440" w:type="dxa"/>
          </w:tcPr>
          <w:p w14:paraId="259FCEFA" w14:textId="77777777" w:rsidR="00C65BE5" w:rsidRPr="007735CD" w:rsidRDefault="00C65BE5" w:rsidP="007735CD">
            <w:pPr>
              <w:rPr>
                <w:rFonts w:cs="Helvetica"/>
                <w:sz w:val="22"/>
                <w:szCs w:val="22"/>
              </w:rPr>
            </w:pPr>
            <w:r w:rsidRPr="007735CD">
              <w:rPr>
                <w:rFonts w:cs="Helvetica"/>
                <w:sz w:val="22"/>
                <w:szCs w:val="22"/>
              </w:rPr>
              <w:t>Passion is important for ‘newsworthiness’ and credibility.</w:t>
            </w:r>
          </w:p>
        </w:tc>
      </w:tr>
    </w:tbl>
    <w:p w14:paraId="2BD07396" w14:textId="77777777" w:rsidR="00C65BE5" w:rsidRPr="007735CD" w:rsidRDefault="00C65BE5" w:rsidP="007735CD">
      <w:pPr>
        <w:autoSpaceDE w:val="0"/>
        <w:autoSpaceDN w:val="0"/>
        <w:adjustRightInd w:val="0"/>
        <w:spacing w:after="0" w:line="240" w:lineRule="auto"/>
        <w:rPr>
          <w:color w:val="000000" w:themeColor="text1"/>
        </w:rPr>
      </w:pPr>
    </w:p>
    <w:p w14:paraId="76EF0526" w14:textId="69C97050" w:rsidR="00C65BE5" w:rsidRPr="007735CD" w:rsidRDefault="00EB2536" w:rsidP="007735CD">
      <w:pPr>
        <w:autoSpaceDE w:val="0"/>
        <w:autoSpaceDN w:val="0"/>
        <w:adjustRightInd w:val="0"/>
        <w:spacing w:after="0" w:line="240" w:lineRule="auto"/>
        <w:rPr>
          <w:color w:val="000000" w:themeColor="text1"/>
        </w:rPr>
      </w:pPr>
      <w:r>
        <w:rPr>
          <w:color w:val="000000" w:themeColor="text1"/>
        </w:rPr>
        <w:t xml:space="preserve">There </w:t>
      </w:r>
      <w:r w:rsidRPr="007735CD">
        <w:rPr>
          <w:color w:val="000000" w:themeColor="text1"/>
        </w:rPr>
        <w:t xml:space="preserve">is clearly scope for the sector to </w:t>
      </w:r>
      <w:r>
        <w:rPr>
          <w:color w:val="000000" w:themeColor="text1"/>
        </w:rPr>
        <w:t xml:space="preserve">enhance relations with media personnel and </w:t>
      </w:r>
      <w:r w:rsidRPr="007735CD">
        <w:rPr>
          <w:color w:val="000000" w:themeColor="text1"/>
        </w:rPr>
        <w:t>use</w:t>
      </w:r>
      <w:r>
        <w:rPr>
          <w:color w:val="000000" w:themeColor="text1"/>
        </w:rPr>
        <w:t xml:space="preserve"> the media more strategically.</w:t>
      </w:r>
    </w:p>
    <w:p w14:paraId="5B7F8640" w14:textId="77777777" w:rsidR="006D4BAC" w:rsidRDefault="006D4BAC" w:rsidP="007735CD">
      <w:pPr>
        <w:spacing w:line="240" w:lineRule="auto"/>
        <w:rPr>
          <w:rFonts w:cs="Calibri"/>
          <w:color w:val="7030A0"/>
        </w:rPr>
      </w:pPr>
    </w:p>
    <w:p w14:paraId="4ABF5420" w14:textId="77777777" w:rsidR="00C65BE5" w:rsidRPr="007735CD" w:rsidRDefault="00C65BE5" w:rsidP="00ED47A2">
      <w:pPr>
        <w:pStyle w:val="Heading3"/>
      </w:pPr>
      <w:bookmarkStart w:id="51" w:name="_Toc394492959"/>
      <w:r w:rsidRPr="007735CD">
        <w:t>Relations with trade unions</w:t>
      </w:r>
      <w:bookmarkEnd w:id="51"/>
    </w:p>
    <w:p w14:paraId="290B2FFC" w14:textId="6C3EBA62" w:rsidR="00C65BE5" w:rsidRPr="00BD7FBC" w:rsidRDefault="001E41EA" w:rsidP="00BD7FBC">
      <w:pPr>
        <w:autoSpaceDE w:val="0"/>
        <w:autoSpaceDN w:val="0"/>
        <w:adjustRightInd w:val="0"/>
        <w:spacing w:after="0" w:line="240" w:lineRule="auto"/>
      </w:pPr>
      <w:r>
        <w:rPr>
          <w:color w:val="000000" w:themeColor="text1"/>
        </w:rPr>
        <w:t xml:space="preserve">Consultations </w:t>
      </w:r>
      <w:r w:rsidRPr="007735CD">
        <w:rPr>
          <w:color w:val="000000" w:themeColor="text1"/>
        </w:rPr>
        <w:t>with</w:t>
      </w:r>
      <w:r w:rsidR="00C65BE5" w:rsidRPr="007735CD">
        <w:rPr>
          <w:color w:val="000000" w:themeColor="text1"/>
        </w:rPr>
        <w:t xml:space="preserve"> the trade unions found a shared social purpose between the unions and the community and voluntary sector, </w:t>
      </w:r>
      <w:r w:rsidR="00F42E1A">
        <w:rPr>
          <w:color w:val="000000" w:themeColor="text1"/>
        </w:rPr>
        <w:t xml:space="preserve">‘with more to unite than to divide’ </w:t>
      </w:r>
      <w:r w:rsidR="00BD7FBC">
        <w:rPr>
          <w:color w:val="000000" w:themeColor="text1"/>
        </w:rPr>
        <w:t xml:space="preserve"> particularly </w:t>
      </w:r>
      <w:r w:rsidR="00F42E1A">
        <w:rPr>
          <w:color w:val="000000" w:themeColor="text1"/>
        </w:rPr>
        <w:t xml:space="preserve">in terms of </w:t>
      </w:r>
      <w:r w:rsidR="00BD7FBC" w:rsidRPr="004960A8">
        <w:t xml:space="preserve">giving voice to/on behalf of an individual or a group/s, in order to </w:t>
      </w:r>
      <w:r w:rsidR="00BD7FBC">
        <w:rPr>
          <w:color w:val="000000" w:themeColor="text1"/>
        </w:rPr>
        <w:t xml:space="preserve">represent their views and </w:t>
      </w:r>
      <w:r w:rsidR="00BD7FBC" w:rsidRPr="004960A8">
        <w:t xml:space="preserve">promote </w:t>
      </w:r>
      <w:r w:rsidR="00BD7FBC">
        <w:t xml:space="preserve">equality and </w:t>
      </w:r>
      <w:r w:rsidR="00BD7FBC" w:rsidRPr="004960A8">
        <w:t>positive change</w:t>
      </w:r>
      <w:r w:rsidR="00BD7FBC">
        <w:t>.</w:t>
      </w:r>
      <w:r w:rsidR="00BD7FBC">
        <w:rPr>
          <w:color w:val="000000" w:themeColor="text1"/>
        </w:rPr>
        <w:t xml:space="preserve"> The</w:t>
      </w:r>
      <w:r w:rsidR="00F42E1A">
        <w:rPr>
          <w:color w:val="000000" w:themeColor="text1"/>
        </w:rPr>
        <w:t xml:space="preserve"> consultations also found </w:t>
      </w:r>
      <w:r w:rsidR="00C65BE5" w:rsidRPr="007735CD">
        <w:rPr>
          <w:color w:val="000000" w:themeColor="text1"/>
        </w:rPr>
        <w:t xml:space="preserve">tensions in the relationships leading to limited levels of cooperation between the sectors. </w:t>
      </w:r>
    </w:p>
    <w:p w14:paraId="11FD5516" w14:textId="77777777" w:rsidR="0056120D" w:rsidRDefault="0056120D" w:rsidP="007735CD">
      <w:pPr>
        <w:spacing w:line="240" w:lineRule="auto"/>
        <w:rPr>
          <w:color w:val="000000" w:themeColor="text1"/>
        </w:rPr>
      </w:pPr>
    </w:p>
    <w:p w14:paraId="2D3CA0A7" w14:textId="48A4880C" w:rsidR="00EB2536" w:rsidRDefault="00C65BE5" w:rsidP="007735CD">
      <w:pPr>
        <w:spacing w:line="240" w:lineRule="auto"/>
        <w:rPr>
          <w:color w:val="000000" w:themeColor="text1"/>
        </w:rPr>
      </w:pPr>
      <w:r w:rsidRPr="007735CD">
        <w:rPr>
          <w:color w:val="000000" w:themeColor="text1"/>
        </w:rPr>
        <w:t>The tensions identified related to the complexity and diversity of the community and voluntary sector which can make it hard for unions (and others) to relate to and work with the sector and in some cases the dismissal of the sector by some unions. There was also a view that some in the community and voluntary sector were trying to take the space of the trade unions</w:t>
      </w:r>
      <w:r w:rsidR="00AE0B01">
        <w:rPr>
          <w:color w:val="000000" w:themeColor="text1"/>
        </w:rPr>
        <w:t>,</w:t>
      </w:r>
      <w:r w:rsidRPr="007735CD">
        <w:rPr>
          <w:color w:val="000000" w:themeColor="text1"/>
        </w:rPr>
        <w:t xml:space="preserve"> although often with different agendas and while the sector was not necessarily a competitor this caused difficulties. </w:t>
      </w:r>
    </w:p>
    <w:p w14:paraId="09EBF2CC" w14:textId="20744C0E" w:rsidR="00C65BE5" w:rsidRDefault="00C65BE5" w:rsidP="007735CD">
      <w:pPr>
        <w:spacing w:line="240" w:lineRule="auto"/>
        <w:rPr>
          <w:color w:val="000000" w:themeColor="text1"/>
        </w:rPr>
      </w:pPr>
      <w:r w:rsidRPr="007735CD">
        <w:rPr>
          <w:color w:val="000000" w:themeColor="text1"/>
        </w:rPr>
        <w:t xml:space="preserve">Some union representatives </w:t>
      </w:r>
      <w:r w:rsidR="0013582C">
        <w:rPr>
          <w:color w:val="000000" w:themeColor="text1"/>
        </w:rPr>
        <w:t xml:space="preserve">we </w:t>
      </w:r>
      <w:r w:rsidRPr="007735CD">
        <w:rPr>
          <w:color w:val="000000" w:themeColor="text1"/>
        </w:rPr>
        <w:t>consulted also believed that the sector could be insular with individual organisations focusing on their particular issue rather than the broader picture and this was also a concern</w:t>
      </w:r>
      <w:r w:rsidR="00EB2536">
        <w:rPr>
          <w:color w:val="000000" w:themeColor="text1"/>
        </w:rPr>
        <w:t xml:space="preserve"> for the unions</w:t>
      </w:r>
      <w:r w:rsidRPr="007735CD">
        <w:rPr>
          <w:color w:val="000000" w:themeColor="text1"/>
        </w:rPr>
        <w:t>. While it was possible to identify examples of positive collaboration between the community and voluntary sector and the unions</w:t>
      </w:r>
      <w:r w:rsidR="00AF7F16">
        <w:rPr>
          <w:color w:val="000000" w:themeColor="text1"/>
        </w:rPr>
        <w:t xml:space="preserve">, </w:t>
      </w:r>
      <w:r w:rsidRPr="007735CD">
        <w:rPr>
          <w:color w:val="000000" w:themeColor="text1"/>
        </w:rPr>
        <w:t>these examples were limited and there was a sense that even these initiatives had not</w:t>
      </w:r>
      <w:r w:rsidR="00EB2536">
        <w:rPr>
          <w:color w:val="000000" w:themeColor="text1"/>
        </w:rPr>
        <w:t xml:space="preserve"> realised their full potential.</w:t>
      </w:r>
      <w:r w:rsidR="00F05C15">
        <w:rPr>
          <w:color w:val="000000" w:themeColor="text1"/>
        </w:rPr>
        <w:t xml:space="preserve"> </w:t>
      </w:r>
      <w:r w:rsidR="00EB2536">
        <w:rPr>
          <w:color w:val="000000" w:themeColor="text1"/>
        </w:rPr>
        <w:t>Th</w:t>
      </w:r>
      <w:r w:rsidRPr="007735CD">
        <w:rPr>
          <w:color w:val="000000" w:themeColor="text1"/>
        </w:rPr>
        <w:t>ere is a need for the comm</w:t>
      </w:r>
      <w:r w:rsidR="00ED47A2">
        <w:rPr>
          <w:color w:val="000000" w:themeColor="text1"/>
        </w:rPr>
        <w:t xml:space="preserve">unity and voluntary sector </w:t>
      </w:r>
      <w:proofErr w:type="gramStart"/>
      <w:r w:rsidR="00ED47A2">
        <w:rPr>
          <w:color w:val="000000" w:themeColor="text1"/>
        </w:rPr>
        <w:t xml:space="preserve">and  </w:t>
      </w:r>
      <w:r w:rsidRPr="007735CD">
        <w:rPr>
          <w:color w:val="000000" w:themeColor="text1"/>
        </w:rPr>
        <w:t>unions</w:t>
      </w:r>
      <w:proofErr w:type="gramEnd"/>
      <w:r w:rsidRPr="007735CD">
        <w:rPr>
          <w:color w:val="000000" w:themeColor="text1"/>
        </w:rPr>
        <w:t xml:space="preserve"> to develop a better understanding of the other and to identify and develop allies and organisations that they can work together with to enhance collaboration between the sectors.</w:t>
      </w:r>
    </w:p>
    <w:p w14:paraId="0FC77909" w14:textId="77777777" w:rsidR="00C65BE5" w:rsidRPr="007735CD" w:rsidRDefault="00C65BE5" w:rsidP="00ED47A2">
      <w:pPr>
        <w:pStyle w:val="Heading3"/>
      </w:pPr>
      <w:bookmarkStart w:id="52" w:name="_Toc394492960"/>
      <w:r w:rsidRPr="007735CD">
        <w:t>Relations with the general public</w:t>
      </w:r>
      <w:bookmarkEnd w:id="52"/>
    </w:p>
    <w:p w14:paraId="5DADA3FE" w14:textId="4BDFD31D" w:rsidR="00AF67BB" w:rsidRPr="00AF67BB" w:rsidRDefault="00C65BE5" w:rsidP="00AF67BB">
      <w:pPr>
        <w:autoSpaceDE w:val="0"/>
        <w:autoSpaceDN w:val="0"/>
        <w:adjustRightInd w:val="0"/>
        <w:spacing w:line="240" w:lineRule="auto"/>
        <w:rPr>
          <w:color w:val="000000" w:themeColor="text1"/>
        </w:rPr>
      </w:pPr>
      <w:r w:rsidRPr="007735CD">
        <w:rPr>
          <w:color w:val="000000" w:themeColor="text1"/>
        </w:rPr>
        <w:t>Among the general public there was a generally negative view of ‘lobbying’</w:t>
      </w:r>
      <w:r w:rsidR="00AE0B01">
        <w:rPr>
          <w:color w:val="000000" w:themeColor="text1"/>
        </w:rPr>
        <w:t>,</w:t>
      </w:r>
      <w:r w:rsidRPr="007735CD">
        <w:rPr>
          <w:color w:val="000000" w:themeColor="text1"/>
        </w:rPr>
        <w:t xml:space="preserve"> but </w:t>
      </w:r>
      <w:r w:rsidR="006B3E2E">
        <w:rPr>
          <w:color w:val="000000" w:themeColor="text1"/>
        </w:rPr>
        <w:t xml:space="preserve">interestingly </w:t>
      </w:r>
      <w:r w:rsidRPr="007735CD">
        <w:rPr>
          <w:color w:val="000000" w:themeColor="text1"/>
        </w:rPr>
        <w:t xml:space="preserve">advocacy by the community and voluntary sector </w:t>
      </w:r>
      <w:r w:rsidR="006B3E2E">
        <w:rPr>
          <w:color w:val="000000" w:themeColor="text1"/>
        </w:rPr>
        <w:t xml:space="preserve">was </w:t>
      </w:r>
      <w:r w:rsidRPr="007735CD">
        <w:rPr>
          <w:color w:val="000000" w:themeColor="text1"/>
        </w:rPr>
        <w:t xml:space="preserve">generally seen as a good thing.  </w:t>
      </w:r>
      <w:r w:rsidR="00AF67BB">
        <w:rPr>
          <w:color w:val="000000" w:themeColor="text1"/>
        </w:rPr>
        <w:t xml:space="preserve">Indeed </w:t>
      </w:r>
      <w:r w:rsidR="00AF67BB" w:rsidRPr="00AF67BB">
        <w:rPr>
          <w:color w:val="000000" w:themeColor="text1"/>
        </w:rPr>
        <w:t xml:space="preserve">72% of those </w:t>
      </w:r>
      <w:r w:rsidR="00AF67BB">
        <w:rPr>
          <w:color w:val="000000" w:themeColor="text1"/>
        </w:rPr>
        <w:t xml:space="preserve">we </w:t>
      </w:r>
      <w:r w:rsidR="00AF67BB" w:rsidRPr="00AF67BB">
        <w:rPr>
          <w:color w:val="000000" w:themeColor="text1"/>
        </w:rPr>
        <w:t>polled believed it was important for charities to campaign and lobby government, while 51% recognised campaigning as part of the ‘cause’ of charities and non-profits.</w:t>
      </w:r>
    </w:p>
    <w:p w14:paraId="727B1260" w14:textId="2896742D" w:rsidR="00C65BE5" w:rsidRDefault="00AF67BB" w:rsidP="007735CD">
      <w:pPr>
        <w:autoSpaceDE w:val="0"/>
        <w:autoSpaceDN w:val="0"/>
        <w:adjustRightInd w:val="0"/>
        <w:spacing w:line="240" w:lineRule="auto"/>
        <w:rPr>
          <w:color w:val="000000" w:themeColor="text1"/>
        </w:rPr>
      </w:pPr>
      <w:r>
        <w:rPr>
          <w:color w:val="000000" w:themeColor="text1"/>
        </w:rPr>
        <w:t xml:space="preserve">Interestingly </w:t>
      </w:r>
      <w:r w:rsidR="00C65BE5" w:rsidRPr="007735CD">
        <w:rPr>
          <w:color w:val="000000" w:themeColor="text1"/>
        </w:rPr>
        <w:t xml:space="preserve">25-30% </w:t>
      </w:r>
      <w:r w:rsidR="0044402C">
        <w:rPr>
          <w:color w:val="000000" w:themeColor="text1"/>
        </w:rPr>
        <w:t>demonstrated</w:t>
      </w:r>
      <w:r w:rsidR="0044402C" w:rsidRPr="007735CD">
        <w:rPr>
          <w:color w:val="000000" w:themeColor="text1"/>
        </w:rPr>
        <w:t xml:space="preserve"> </w:t>
      </w:r>
      <w:r w:rsidR="00C65BE5" w:rsidRPr="007735CD">
        <w:rPr>
          <w:color w:val="000000" w:themeColor="text1"/>
        </w:rPr>
        <w:t>they had a reasonable understanding of social justice advocacy</w:t>
      </w:r>
      <w:r w:rsidR="0013582C">
        <w:rPr>
          <w:color w:val="000000" w:themeColor="text1"/>
        </w:rPr>
        <w:t xml:space="preserve">. </w:t>
      </w:r>
      <w:r w:rsidR="00C65BE5" w:rsidRPr="007735CD">
        <w:rPr>
          <w:color w:val="000000" w:themeColor="text1"/>
        </w:rPr>
        <w:t xml:space="preserve">Members of the public’s most common involvement in community and voluntary sector campaigning activities was adding their name to a petition.  </w:t>
      </w:r>
      <w:r w:rsidR="006B3E2E">
        <w:rPr>
          <w:color w:val="000000" w:themeColor="text1"/>
        </w:rPr>
        <w:t>They were sig</w:t>
      </w:r>
      <w:r w:rsidR="006B3E2E" w:rsidRPr="007735CD">
        <w:rPr>
          <w:color w:val="000000" w:themeColor="text1"/>
        </w:rPr>
        <w:t>n</w:t>
      </w:r>
      <w:r w:rsidR="006B3E2E">
        <w:rPr>
          <w:color w:val="000000" w:themeColor="text1"/>
        </w:rPr>
        <w:t>ifi</w:t>
      </w:r>
      <w:r w:rsidR="006B3E2E" w:rsidRPr="007735CD">
        <w:rPr>
          <w:color w:val="000000" w:themeColor="text1"/>
        </w:rPr>
        <w:t xml:space="preserve">cantly less likely to attend a public meeting or demonstration. </w:t>
      </w:r>
      <w:r w:rsidR="00C65BE5" w:rsidRPr="007735CD">
        <w:rPr>
          <w:color w:val="000000" w:themeColor="text1"/>
        </w:rPr>
        <w:t>Interestingly in terms of effectiveness only 15% of the public believed that the social justice advocacy work being undertaken was influential</w:t>
      </w:r>
      <w:r w:rsidR="00AE0B01">
        <w:rPr>
          <w:color w:val="000000" w:themeColor="text1"/>
        </w:rPr>
        <w:t>,</w:t>
      </w:r>
      <w:r w:rsidR="00C65BE5" w:rsidRPr="007735CD">
        <w:rPr>
          <w:color w:val="000000" w:themeColor="text1"/>
        </w:rPr>
        <w:t xml:space="preserve"> while 46% though it should be</w:t>
      </w:r>
      <w:r w:rsidR="00DA5CB7">
        <w:rPr>
          <w:color w:val="000000" w:themeColor="text1"/>
        </w:rPr>
        <w:t xml:space="preserve">.  </w:t>
      </w:r>
    </w:p>
    <w:p w14:paraId="3243C291" w14:textId="77777777" w:rsidR="0082302C" w:rsidRPr="007735CD" w:rsidRDefault="0082302C" w:rsidP="00ED47A2">
      <w:pPr>
        <w:pStyle w:val="Heading2"/>
      </w:pPr>
      <w:bookmarkStart w:id="53" w:name="_Toc394492961"/>
      <w:bookmarkStart w:id="54" w:name="_Toc394493492"/>
      <w:r>
        <w:t>3.5</w:t>
      </w:r>
      <w:r w:rsidRPr="007735CD">
        <w:tab/>
      </w:r>
      <w:r>
        <w:t>In Summary</w:t>
      </w:r>
      <w:bookmarkEnd w:id="53"/>
      <w:bookmarkEnd w:id="54"/>
      <w:r w:rsidRPr="007735CD">
        <w:t xml:space="preserve"> </w:t>
      </w:r>
    </w:p>
    <w:p w14:paraId="6C8C096B" w14:textId="464E2E60" w:rsidR="0026189E" w:rsidRPr="00A134FD" w:rsidRDefault="00A134FD" w:rsidP="0026189E">
      <w:pPr>
        <w:autoSpaceDE w:val="0"/>
        <w:autoSpaceDN w:val="0"/>
        <w:adjustRightInd w:val="0"/>
        <w:spacing w:after="0" w:line="240" w:lineRule="auto"/>
        <w:rPr>
          <w:color w:val="000000" w:themeColor="text1"/>
        </w:rPr>
      </w:pPr>
      <w:r>
        <w:rPr>
          <w:color w:val="000000" w:themeColor="text1"/>
        </w:rPr>
        <w:t>T</w:t>
      </w:r>
      <w:r w:rsidRPr="00A134FD">
        <w:rPr>
          <w:color w:val="000000" w:themeColor="text1"/>
        </w:rPr>
        <w:t xml:space="preserve">he lack of a common definition of what constitutes advocacy </w:t>
      </w:r>
      <w:r>
        <w:rPr>
          <w:color w:val="000000" w:themeColor="text1"/>
        </w:rPr>
        <w:t xml:space="preserve">made it difficult to </w:t>
      </w:r>
      <w:r w:rsidR="0082302C" w:rsidRPr="00A134FD">
        <w:rPr>
          <w:color w:val="000000" w:themeColor="text1"/>
        </w:rPr>
        <w:t>quantify the number of community and voluntary organisations involved in social</w:t>
      </w:r>
      <w:r w:rsidR="0082302C" w:rsidRPr="0082302C">
        <w:rPr>
          <w:color w:val="632423" w:themeColor="accent2" w:themeShade="80"/>
        </w:rPr>
        <w:t xml:space="preserve"> </w:t>
      </w:r>
      <w:r w:rsidR="0082302C" w:rsidRPr="00A134FD">
        <w:rPr>
          <w:color w:val="000000" w:themeColor="text1"/>
        </w:rPr>
        <w:t xml:space="preserve">justice advocacy </w:t>
      </w:r>
      <w:r>
        <w:rPr>
          <w:color w:val="000000" w:themeColor="text1"/>
        </w:rPr>
        <w:t>work</w:t>
      </w:r>
      <w:r w:rsidR="0082302C" w:rsidRPr="00A134FD">
        <w:rPr>
          <w:color w:val="000000" w:themeColor="text1"/>
        </w:rPr>
        <w:t xml:space="preserve">.  </w:t>
      </w:r>
      <w:r w:rsidR="00BE6F86">
        <w:rPr>
          <w:color w:val="000000" w:themeColor="text1"/>
        </w:rPr>
        <w:t xml:space="preserve">What we did find was </w:t>
      </w:r>
      <w:r w:rsidR="00BE6F86">
        <w:rPr>
          <w:color w:val="000000" w:themeColor="text1"/>
        </w:rPr>
        <w:lastRenderedPageBreak/>
        <w:t xml:space="preserve">that </w:t>
      </w:r>
      <w:r w:rsidR="0082302C" w:rsidRPr="00A134FD">
        <w:rPr>
          <w:color w:val="000000" w:themeColor="text1"/>
        </w:rPr>
        <w:t xml:space="preserve">39% of the community and voluntary organisations surveyed </w:t>
      </w:r>
      <w:r w:rsidR="00EB3DB0">
        <w:rPr>
          <w:color w:val="000000" w:themeColor="text1"/>
        </w:rPr>
        <w:t>as part of the 2012 Mapping S</w:t>
      </w:r>
      <w:r w:rsidR="0026189E" w:rsidRPr="00A134FD">
        <w:rPr>
          <w:color w:val="000000" w:themeColor="text1"/>
        </w:rPr>
        <w:t xml:space="preserve">tudy </w:t>
      </w:r>
      <w:r w:rsidR="0044402C">
        <w:rPr>
          <w:color w:val="000000" w:themeColor="text1"/>
        </w:rPr>
        <w:t>do</w:t>
      </w:r>
      <w:r w:rsidR="0082302C" w:rsidRPr="00A134FD">
        <w:rPr>
          <w:color w:val="000000" w:themeColor="text1"/>
        </w:rPr>
        <w:t xml:space="preserve"> social justice advocacy work</w:t>
      </w:r>
      <w:r w:rsidR="00EB3DB0">
        <w:rPr>
          <w:color w:val="000000" w:themeColor="text1"/>
        </w:rPr>
        <w:t xml:space="preserve">, </w:t>
      </w:r>
      <w:r w:rsidR="0082302C" w:rsidRPr="00A134FD">
        <w:rPr>
          <w:color w:val="000000" w:themeColor="text1"/>
        </w:rPr>
        <w:t xml:space="preserve">mostly at a local level and to a lesser extent at a national level. </w:t>
      </w:r>
      <w:r w:rsidR="00EB3DB0">
        <w:rPr>
          <w:color w:val="000000" w:themeColor="text1"/>
        </w:rPr>
        <w:t>These organis</w:t>
      </w:r>
      <w:r w:rsidR="006D4BAC">
        <w:rPr>
          <w:color w:val="000000" w:themeColor="text1"/>
        </w:rPr>
        <w:t>a</w:t>
      </w:r>
      <w:r w:rsidR="00EB3DB0">
        <w:rPr>
          <w:color w:val="000000" w:themeColor="text1"/>
        </w:rPr>
        <w:t xml:space="preserve">tions employed a </w:t>
      </w:r>
      <w:r w:rsidR="0082302C" w:rsidRPr="00A134FD">
        <w:rPr>
          <w:color w:val="000000" w:themeColor="text1"/>
        </w:rPr>
        <w:t xml:space="preserve">wide diversity of advocacy strategies and techniques, split roughly evenly </w:t>
      </w:r>
      <w:r w:rsidR="00AF7F16">
        <w:rPr>
          <w:color w:val="000000" w:themeColor="text1"/>
        </w:rPr>
        <w:t xml:space="preserve">activities that engage with the decision making system and activities that sought to influence the decision making system from outside the system. </w:t>
      </w:r>
    </w:p>
    <w:p w14:paraId="5352386B" w14:textId="77777777" w:rsidR="0026189E" w:rsidRPr="00A134FD" w:rsidRDefault="0026189E" w:rsidP="0026189E">
      <w:pPr>
        <w:autoSpaceDE w:val="0"/>
        <w:autoSpaceDN w:val="0"/>
        <w:adjustRightInd w:val="0"/>
        <w:spacing w:after="0" w:line="240" w:lineRule="auto"/>
        <w:rPr>
          <w:color w:val="000000" w:themeColor="text1"/>
        </w:rPr>
      </w:pPr>
    </w:p>
    <w:p w14:paraId="144B461A" w14:textId="77777777" w:rsidR="0082302C" w:rsidRPr="00A134FD" w:rsidRDefault="0082302C" w:rsidP="0026189E">
      <w:pPr>
        <w:autoSpaceDE w:val="0"/>
        <w:autoSpaceDN w:val="0"/>
        <w:adjustRightInd w:val="0"/>
        <w:spacing w:after="0" w:line="240" w:lineRule="auto"/>
        <w:rPr>
          <w:color w:val="000000" w:themeColor="text1"/>
        </w:rPr>
      </w:pPr>
      <w:r w:rsidRPr="00A134FD">
        <w:rPr>
          <w:color w:val="000000" w:themeColor="text1"/>
        </w:rPr>
        <w:t xml:space="preserve">Community and voluntary organisations generally reported doing more social justice advocacy work generally and specifically more ‘insider’ focused activities than they had been in the past.  </w:t>
      </w:r>
      <w:r w:rsidR="0026189E" w:rsidRPr="00A134FD">
        <w:rPr>
          <w:color w:val="000000" w:themeColor="text1"/>
        </w:rPr>
        <w:t xml:space="preserve">Another key finding was that an </w:t>
      </w:r>
      <w:r w:rsidRPr="00A134FD">
        <w:rPr>
          <w:color w:val="000000" w:themeColor="text1"/>
        </w:rPr>
        <w:t>increasing number of community and voluntary sector organisations had become involved in alliances and/or networks in order to pr</w:t>
      </w:r>
      <w:r w:rsidR="00EB3DB0">
        <w:rPr>
          <w:color w:val="000000" w:themeColor="text1"/>
        </w:rPr>
        <w:t>ogress their advocacy work.</w:t>
      </w:r>
      <w:r w:rsidR="00EB3DB0" w:rsidRPr="00EB3DB0">
        <w:rPr>
          <w:color w:val="000000" w:themeColor="text1"/>
        </w:rPr>
        <w:t xml:space="preserve"> </w:t>
      </w:r>
      <w:r w:rsidR="00EB3DB0">
        <w:rPr>
          <w:color w:val="000000" w:themeColor="text1"/>
        </w:rPr>
        <w:t>Interestingly too it was found that o</w:t>
      </w:r>
      <w:r w:rsidR="00EB3DB0" w:rsidRPr="00A134FD">
        <w:rPr>
          <w:color w:val="000000" w:themeColor="text1"/>
        </w:rPr>
        <w:t xml:space="preserve">rganisations who undertook both advocacy and service provision work were generally better regarded </w:t>
      </w:r>
      <w:r w:rsidR="00EB3DB0">
        <w:rPr>
          <w:color w:val="000000" w:themeColor="text1"/>
        </w:rPr>
        <w:t xml:space="preserve">by the state </w:t>
      </w:r>
      <w:r w:rsidR="00EB3DB0" w:rsidRPr="00A134FD">
        <w:rPr>
          <w:color w:val="000000" w:themeColor="text1"/>
        </w:rPr>
        <w:t xml:space="preserve">than organisations that did only advocacy work.  </w:t>
      </w:r>
    </w:p>
    <w:p w14:paraId="26CD1622" w14:textId="77777777" w:rsidR="0082302C" w:rsidRPr="00A134FD" w:rsidRDefault="0082302C" w:rsidP="008209EE">
      <w:pPr>
        <w:autoSpaceDE w:val="0"/>
        <w:autoSpaceDN w:val="0"/>
        <w:adjustRightInd w:val="0"/>
        <w:spacing w:after="0" w:line="240" w:lineRule="auto"/>
        <w:rPr>
          <w:color w:val="000000" w:themeColor="text1"/>
        </w:rPr>
      </w:pPr>
    </w:p>
    <w:p w14:paraId="24D6E328" w14:textId="2F408330" w:rsidR="0082302C" w:rsidRPr="00A134FD" w:rsidRDefault="00E84A30" w:rsidP="0082302C">
      <w:pPr>
        <w:autoSpaceDE w:val="0"/>
        <w:autoSpaceDN w:val="0"/>
        <w:adjustRightInd w:val="0"/>
        <w:spacing w:after="0" w:line="240" w:lineRule="auto"/>
        <w:rPr>
          <w:color w:val="000000" w:themeColor="text1"/>
        </w:rPr>
      </w:pPr>
      <w:r>
        <w:rPr>
          <w:color w:val="000000" w:themeColor="text1"/>
        </w:rPr>
        <w:t>We found a complex and at times</w:t>
      </w:r>
      <w:r w:rsidR="0082302C" w:rsidRPr="00A134FD">
        <w:rPr>
          <w:color w:val="000000" w:themeColor="text1"/>
        </w:rPr>
        <w:t xml:space="preserve"> uneasy relationship between the community and voluntary sector and the state</w:t>
      </w:r>
      <w:r w:rsidR="008209EE" w:rsidRPr="00A134FD">
        <w:rPr>
          <w:color w:val="000000" w:themeColor="text1"/>
        </w:rPr>
        <w:t xml:space="preserve">, </w:t>
      </w:r>
      <w:r w:rsidR="0082302C" w:rsidRPr="00A134FD">
        <w:rPr>
          <w:color w:val="000000" w:themeColor="text1"/>
        </w:rPr>
        <w:t xml:space="preserve">linked </w:t>
      </w:r>
      <w:r>
        <w:rPr>
          <w:color w:val="000000" w:themeColor="text1"/>
        </w:rPr>
        <w:t xml:space="preserve">both to </w:t>
      </w:r>
      <w:r w:rsidR="0082302C" w:rsidRPr="00A134FD">
        <w:rPr>
          <w:color w:val="000000" w:themeColor="text1"/>
        </w:rPr>
        <w:t xml:space="preserve">historical events as well as </w:t>
      </w:r>
      <w:r>
        <w:rPr>
          <w:color w:val="000000" w:themeColor="text1"/>
        </w:rPr>
        <w:t xml:space="preserve">to </w:t>
      </w:r>
      <w:r w:rsidR="0082302C" w:rsidRPr="00A134FD">
        <w:rPr>
          <w:color w:val="000000" w:themeColor="text1"/>
        </w:rPr>
        <w:t xml:space="preserve">the </w:t>
      </w:r>
      <w:r>
        <w:rPr>
          <w:color w:val="000000" w:themeColor="text1"/>
        </w:rPr>
        <w:t xml:space="preserve">diversity and disparate nature of the sector.  </w:t>
      </w:r>
      <w:r w:rsidR="007E4331">
        <w:rPr>
          <w:color w:val="000000" w:themeColor="text1"/>
        </w:rPr>
        <w:t xml:space="preserve">The </w:t>
      </w:r>
      <w:r>
        <w:rPr>
          <w:color w:val="000000" w:themeColor="text1"/>
        </w:rPr>
        <w:t xml:space="preserve">existence of a variety of different expectations, understandings and perceptions of the role of the sector </w:t>
      </w:r>
      <w:r w:rsidR="007E4331">
        <w:rPr>
          <w:color w:val="000000" w:themeColor="text1"/>
        </w:rPr>
        <w:t xml:space="preserve">was also found to contribute to the complexity and challenging nature of the relationships. </w:t>
      </w:r>
      <w:r>
        <w:rPr>
          <w:color w:val="000000" w:themeColor="text1"/>
        </w:rPr>
        <w:t xml:space="preserve"> </w:t>
      </w:r>
      <w:r w:rsidR="007E4331">
        <w:rPr>
          <w:color w:val="000000" w:themeColor="text1"/>
        </w:rPr>
        <w:t>On a more positive note</w:t>
      </w:r>
      <w:r w:rsidR="00EB3DB0">
        <w:rPr>
          <w:color w:val="000000" w:themeColor="text1"/>
        </w:rPr>
        <w:t xml:space="preserve"> p</w:t>
      </w:r>
      <w:r w:rsidR="0082302C" w:rsidRPr="00A134FD">
        <w:rPr>
          <w:color w:val="000000" w:themeColor="text1"/>
        </w:rPr>
        <w:t>olicy</w:t>
      </w:r>
      <w:r w:rsidR="00AE0B01">
        <w:rPr>
          <w:color w:val="000000" w:themeColor="text1"/>
        </w:rPr>
        <w:t>-</w:t>
      </w:r>
      <w:r w:rsidR="0082302C" w:rsidRPr="00A134FD">
        <w:rPr>
          <w:color w:val="000000" w:themeColor="text1"/>
        </w:rPr>
        <w:t xml:space="preserve">makers and influencers generally understood the </w:t>
      </w:r>
      <w:r w:rsidR="007E4331">
        <w:rPr>
          <w:color w:val="000000" w:themeColor="text1"/>
        </w:rPr>
        <w:t xml:space="preserve">potential </w:t>
      </w:r>
      <w:r w:rsidR="0082302C" w:rsidRPr="00A134FD">
        <w:rPr>
          <w:color w:val="000000" w:themeColor="text1"/>
        </w:rPr>
        <w:t>role of advocacy by the sector in a democracy</w:t>
      </w:r>
      <w:r w:rsidR="009B214D" w:rsidRPr="00A134FD">
        <w:rPr>
          <w:color w:val="000000" w:themeColor="text1"/>
        </w:rPr>
        <w:t xml:space="preserve">, </w:t>
      </w:r>
      <w:r w:rsidR="00EB3DB0">
        <w:rPr>
          <w:color w:val="000000" w:themeColor="text1"/>
        </w:rPr>
        <w:t xml:space="preserve">with varying degrees of positivity about </w:t>
      </w:r>
      <w:r w:rsidR="0082302C" w:rsidRPr="00A134FD">
        <w:rPr>
          <w:color w:val="000000" w:themeColor="text1"/>
        </w:rPr>
        <w:t>th</w:t>
      </w:r>
      <w:r w:rsidR="007E4331">
        <w:rPr>
          <w:color w:val="000000" w:themeColor="text1"/>
        </w:rPr>
        <w:t xml:space="preserve">e actual </w:t>
      </w:r>
      <w:r w:rsidR="007E4331" w:rsidRPr="00A134FD">
        <w:rPr>
          <w:color w:val="000000" w:themeColor="text1"/>
        </w:rPr>
        <w:t>role</w:t>
      </w:r>
      <w:r w:rsidR="0082302C" w:rsidRPr="00A134FD">
        <w:rPr>
          <w:color w:val="000000" w:themeColor="text1"/>
        </w:rPr>
        <w:t xml:space="preserve"> </w:t>
      </w:r>
      <w:r w:rsidR="009B214D" w:rsidRPr="00A134FD">
        <w:rPr>
          <w:color w:val="000000" w:themeColor="text1"/>
        </w:rPr>
        <w:t xml:space="preserve">and </w:t>
      </w:r>
      <w:r w:rsidR="00EB3DB0">
        <w:rPr>
          <w:color w:val="000000" w:themeColor="text1"/>
        </w:rPr>
        <w:t xml:space="preserve">less positive feedback about the role in practice. </w:t>
      </w:r>
      <w:r w:rsidR="009B214D" w:rsidRPr="00A134FD">
        <w:rPr>
          <w:color w:val="000000" w:themeColor="text1"/>
        </w:rPr>
        <w:t xml:space="preserve">Relationships </w:t>
      </w:r>
      <w:r w:rsidR="00EB3DB0">
        <w:rPr>
          <w:color w:val="000000" w:themeColor="text1"/>
        </w:rPr>
        <w:t xml:space="preserve">between the community and voluntary sector and </w:t>
      </w:r>
      <w:r w:rsidR="009B214D" w:rsidRPr="00A134FD">
        <w:rPr>
          <w:color w:val="000000" w:themeColor="text1"/>
        </w:rPr>
        <w:t xml:space="preserve">other sectors (including the media, trade unions and the general public) would probably best be </w:t>
      </w:r>
      <w:r w:rsidR="0005408A">
        <w:rPr>
          <w:color w:val="000000" w:themeColor="text1"/>
        </w:rPr>
        <w:t>summarised</w:t>
      </w:r>
      <w:r w:rsidR="009B214D" w:rsidRPr="00A134FD">
        <w:rPr>
          <w:color w:val="000000" w:themeColor="text1"/>
        </w:rPr>
        <w:t xml:space="preserve"> as ‘underdeveloped’</w:t>
      </w:r>
      <w:r w:rsidR="00EB3DB0">
        <w:rPr>
          <w:color w:val="000000" w:themeColor="text1"/>
        </w:rPr>
        <w:t>.</w:t>
      </w:r>
    </w:p>
    <w:p w14:paraId="63BFBB7F" w14:textId="77777777" w:rsidR="007735CD" w:rsidRPr="00B9697E" w:rsidRDefault="0076454D" w:rsidP="00ED47A2">
      <w:pPr>
        <w:pStyle w:val="Heading1"/>
      </w:pPr>
      <w:bookmarkStart w:id="55" w:name="_Toc394492962"/>
      <w:bookmarkStart w:id="56" w:name="_Toc394493493"/>
      <w:r w:rsidRPr="00B9697E">
        <w:t>4</w:t>
      </w:r>
      <w:r w:rsidRPr="00B9697E">
        <w:tab/>
      </w:r>
      <w:r w:rsidR="00BE6F86">
        <w:t>What was the learning</w:t>
      </w:r>
      <w:r w:rsidR="007735CD" w:rsidRPr="00B9697E">
        <w:t>?</w:t>
      </w:r>
      <w:bookmarkEnd w:id="55"/>
      <w:bookmarkEnd w:id="56"/>
    </w:p>
    <w:p w14:paraId="4D88D4A6" w14:textId="1537A722" w:rsidR="007735CD" w:rsidRPr="007735CD" w:rsidRDefault="007735CD" w:rsidP="007735CD">
      <w:pPr>
        <w:spacing w:line="240" w:lineRule="auto"/>
        <w:jc w:val="center"/>
        <w:rPr>
          <w:color w:val="7030A0"/>
        </w:rPr>
      </w:pPr>
    </w:p>
    <w:p w14:paraId="1552BD9F" w14:textId="77777777" w:rsidR="007735CD" w:rsidRPr="007735CD" w:rsidRDefault="007735CD" w:rsidP="00ED47A2">
      <w:pPr>
        <w:pStyle w:val="Heading2"/>
      </w:pPr>
      <w:bookmarkStart w:id="57" w:name="_Toc394492963"/>
      <w:bookmarkStart w:id="58" w:name="_Toc394493494"/>
      <w:r w:rsidRPr="007735CD">
        <w:t>4.1</w:t>
      </w:r>
      <w:r w:rsidRPr="007735CD">
        <w:tab/>
        <w:t>Introduction</w:t>
      </w:r>
      <w:bookmarkEnd w:id="57"/>
      <w:bookmarkEnd w:id="58"/>
    </w:p>
    <w:p w14:paraId="22414405" w14:textId="1A06B7D0" w:rsidR="007735CD" w:rsidRPr="007735CD" w:rsidRDefault="007735CD" w:rsidP="007735CD">
      <w:pPr>
        <w:spacing w:line="240" w:lineRule="auto"/>
      </w:pPr>
      <w:r w:rsidRPr="007735CD">
        <w:t>Th</w:t>
      </w:r>
      <w:r w:rsidR="00DA5CB7">
        <w:t>is</w:t>
      </w:r>
      <w:r w:rsidRPr="007735CD">
        <w:t xml:space="preserve"> section </w:t>
      </w:r>
      <w:r w:rsidR="007E4331">
        <w:t xml:space="preserve">draws on the </w:t>
      </w:r>
      <w:r w:rsidR="00D8735B">
        <w:t xml:space="preserve">findings emerging </w:t>
      </w:r>
      <w:r w:rsidR="00BE6F86">
        <w:t xml:space="preserve">from the various studies we commissioned and activities we undertook to </w:t>
      </w:r>
      <w:r w:rsidR="00D971AE">
        <w:t xml:space="preserve">answer </w:t>
      </w:r>
      <w:r w:rsidRPr="007735CD">
        <w:t>a number of key questions</w:t>
      </w:r>
      <w:r w:rsidR="007E4331">
        <w:t xml:space="preserve"> in relation to</w:t>
      </w:r>
      <w:r w:rsidRPr="007735CD">
        <w:t xml:space="preserve">: </w:t>
      </w:r>
    </w:p>
    <w:p w14:paraId="3CDB43B1" w14:textId="77777777" w:rsidR="007735CD" w:rsidRPr="007735CD" w:rsidRDefault="00523AEE" w:rsidP="007C0CDD">
      <w:pPr>
        <w:numPr>
          <w:ilvl w:val="0"/>
          <w:numId w:val="14"/>
        </w:numPr>
        <w:spacing w:before="240" w:after="0" w:line="240" w:lineRule="auto"/>
        <w:contextualSpacing/>
        <w:jc w:val="both"/>
        <w:rPr>
          <w:color w:val="7030A0"/>
          <w:lang w:val="en-US"/>
        </w:rPr>
      </w:pPr>
      <w:r>
        <w:rPr>
          <w:lang w:val="en-US"/>
        </w:rPr>
        <w:t xml:space="preserve">What </w:t>
      </w:r>
      <w:r w:rsidR="007735CD" w:rsidRPr="007735CD">
        <w:rPr>
          <w:lang w:val="en-US"/>
        </w:rPr>
        <w:t xml:space="preserve">value </w:t>
      </w:r>
      <w:r>
        <w:rPr>
          <w:lang w:val="en-US"/>
        </w:rPr>
        <w:t xml:space="preserve">is </w:t>
      </w:r>
      <w:r w:rsidR="007735CD" w:rsidRPr="007735CD">
        <w:rPr>
          <w:lang w:val="en-US"/>
        </w:rPr>
        <w:t>place</w:t>
      </w:r>
      <w:r>
        <w:rPr>
          <w:lang w:val="en-US"/>
        </w:rPr>
        <w:t>d</w:t>
      </w:r>
      <w:r w:rsidR="007735CD" w:rsidRPr="007735CD">
        <w:rPr>
          <w:lang w:val="en-US"/>
        </w:rPr>
        <w:t xml:space="preserve"> on social justice advocacy work</w:t>
      </w:r>
      <w:r>
        <w:rPr>
          <w:lang w:val="en-US"/>
        </w:rPr>
        <w:t>?</w:t>
      </w:r>
    </w:p>
    <w:p w14:paraId="42C0A8E7" w14:textId="77777777" w:rsidR="007735CD" w:rsidRPr="007735CD" w:rsidRDefault="008D6ED4" w:rsidP="007C0CDD">
      <w:pPr>
        <w:numPr>
          <w:ilvl w:val="0"/>
          <w:numId w:val="14"/>
        </w:numPr>
        <w:spacing w:before="240" w:after="0" w:line="240" w:lineRule="auto"/>
        <w:contextualSpacing/>
        <w:jc w:val="both"/>
        <w:rPr>
          <w:color w:val="7030A0"/>
          <w:lang w:val="en-US"/>
        </w:rPr>
      </w:pPr>
      <w:r>
        <w:rPr>
          <w:lang w:val="en-US"/>
        </w:rPr>
        <w:t>How effective</w:t>
      </w:r>
      <w:r w:rsidR="007735CD" w:rsidRPr="007735CD">
        <w:rPr>
          <w:lang w:val="en-US"/>
        </w:rPr>
        <w:t xml:space="preserve"> and </w:t>
      </w:r>
      <w:r w:rsidRPr="007735CD">
        <w:rPr>
          <w:lang w:val="en-US"/>
        </w:rPr>
        <w:t>impact</w:t>
      </w:r>
      <w:r>
        <w:rPr>
          <w:lang w:val="en-US"/>
        </w:rPr>
        <w:t xml:space="preserve">ful is </w:t>
      </w:r>
      <w:r w:rsidR="007735CD" w:rsidRPr="007735CD">
        <w:rPr>
          <w:lang w:val="en-US"/>
        </w:rPr>
        <w:t>social justice advocacy work</w:t>
      </w:r>
      <w:r>
        <w:rPr>
          <w:lang w:val="en-US"/>
        </w:rPr>
        <w:t>?</w:t>
      </w:r>
    </w:p>
    <w:p w14:paraId="741C8A52" w14:textId="2221C122" w:rsidR="007735CD" w:rsidRPr="007735CD" w:rsidRDefault="008D6ED4" w:rsidP="007C0CDD">
      <w:pPr>
        <w:numPr>
          <w:ilvl w:val="0"/>
          <w:numId w:val="14"/>
        </w:numPr>
        <w:spacing w:before="240" w:after="0" w:line="240" w:lineRule="auto"/>
        <w:contextualSpacing/>
        <w:jc w:val="both"/>
        <w:rPr>
          <w:color w:val="7030A0"/>
          <w:lang w:val="en-US"/>
        </w:rPr>
      </w:pPr>
      <w:r>
        <w:rPr>
          <w:lang w:val="en-US"/>
        </w:rPr>
        <w:t xml:space="preserve">What are the </w:t>
      </w:r>
      <w:r w:rsidR="0044402C">
        <w:rPr>
          <w:lang w:val="en-US"/>
        </w:rPr>
        <w:t xml:space="preserve">key contextual </w:t>
      </w:r>
      <w:r w:rsidR="007735CD" w:rsidRPr="007735CD">
        <w:rPr>
          <w:lang w:val="en-US"/>
        </w:rPr>
        <w:t>challenges for the</w:t>
      </w:r>
      <w:r>
        <w:rPr>
          <w:lang w:val="en-US"/>
        </w:rPr>
        <w:t xml:space="preserve"> community and voluntary sector?</w:t>
      </w:r>
    </w:p>
    <w:p w14:paraId="05F354EB" w14:textId="637FC248" w:rsidR="007735CD" w:rsidRPr="007735CD" w:rsidRDefault="008D6ED4" w:rsidP="007C0CDD">
      <w:pPr>
        <w:numPr>
          <w:ilvl w:val="0"/>
          <w:numId w:val="14"/>
        </w:numPr>
        <w:spacing w:before="240" w:after="0" w:line="240" w:lineRule="auto"/>
        <w:contextualSpacing/>
        <w:jc w:val="both"/>
        <w:rPr>
          <w:color w:val="7030A0"/>
          <w:lang w:val="en-US"/>
        </w:rPr>
      </w:pPr>
      <w:r>
        <w:rPr>
          <w:lang w:val="en-US"/>
        </w:rPr>
        <w:t xml:space="preserve">What are the </w:t>
      </w:r>
      <w:r w:rsidR="0044402C">
        <w:rPr>
          <w:lang w:val="en-US"/>
        </w:rPr>
        <w:t xml:space="preserve">key practice challenges for </w:t>
      </w:r>
      <w:r w:rsidR="007735CD" w:rsidRPr="007735CD">
        <w:rPr>
          <w:lang w:val="en-US"/>
        </w:rPr>
        <w:t>community and voluntary social justice advocacy</w:t>
      </w:r>
      <w:r>
        <w:rPr>
          <w:lang w:val="en-US"/>
        </w:rPr>
        <w:t>?</w:t>
      </w:r>
      <w:r w:rsidR="007735CD" w:rsidRPr="007735CD">
        <w:rPr>
          <w:lang w:val="en-US"/>
        </w:rPr>
        <w:t xml:space="preserve"> </w:t>
      </w:r>
    </w:p>
    <w:p w14:paraId="630D68DA" w14:textId="26BC3A5C" w:rsidR="007735CD" w:rsidRPr="008D6ED4" w:rsidRDefault="0044402C" w:rsidP="007C0CDD">
      <w:pPr>
        <w:numPr>
          <w:ilvl w:val="0"/>
          <w:numId w:val="14"/>
        </w:numPr>
        <w:spacing w:before="240" w:after="0" w:line="240" w:lineRule="auto"/>
        <w:contextualSpacing/>
        <w:jc w:val="both"/>
        <w:rPr>
          <w:color w:val="7030A0"/>
          <w:lang w:val="en-US"/>
        </w:rPr>
      </w:pPr>
      <w:r>
        <w:rPr>
          <w:lang w:val="en-US"/>
        </w:rPr>
        <w:t>What is the role of policy makers in maximizing the impact of social justice advocacy work</w:t>
      </w:r>
      <w:r w:rsidR="008D6ED4">
        <w:rPr>
          <w:lang w:val="en-US"/>
        </w:rPr>
        <w:t>?</w:t>
      </w:r>
    </w:p>
    <w:p w14:paraId="011CB301" w14:textId="77777777" w:rsidR="007735CD" w:rsidRPr="007735CD" w:rsidRDefault="007735CD" w:rsidP="00C4411B">
      <w:pPr>
        <w:spacing w:line="240" w:lineRule="auto"/>
        <w:rPr>
          <w:color w:val="7030A0"/>
        </w:rPr>
      </w:pPr>
    </w:p>
    <w:p w14:paraId="450BDD9E" w14:textId="77777777" w:rsidR="007735CD" w:rsidRPr="007735CD" w:rsidRDefault="007735CD" w:rsidP="00ED47A2">
      <w:pPr>
        <w:pStyle w:val="Heading2"/>
      </w:pPr>
      <w:bookmarkStart w:id="59" w:name="_Toc394492964"/>
      <w:bookmarkStart w:id="60" w:name="_Toc394493495"/>
      <w:r w:rsidRPr="007735CD">
        <w:t>4.2</w:t>
      </w:r>
      <w:r w:rsidRPr="007735CD">
        <w:tab/>
      </w:r>
      <w:r w:rsidR="00523AEE">
        <w:t xml:space="preserve">What </w:t>
      </w:r>
      <w:r w:rsidRPr="007735CD">
        <w:t xml:space="preserve">value </w:t>
      </w:r>
      <w:r w:rsidR="00523AEE">
        <w:t xml:space="preserve">is </w:t>
      </w:r>
      <w:r w:rsidRPr="007735CD">
        <w:t>placed on social justice advocacy work?</w:t>
      </w:r>
      <w:bookmarkEnd w:id="59"/>
      <w:bookmarkEnd w:id="60"/>
    </w:p>
    <w:p w14:paraId="7341CF56" w14:textId="58F58700" w:rsidR="007735CD" w:rsidRPr="007735CD" w:rsidRDefault="007735CD" w:rsidP="007735CD">
      <w:pPr>
        <w:spacing w:line="240" w:lineRule="auto"/>
        <w:rPr>
          <w:color w:val="000000" w:themeColor="text1"/>
        </w:rPr>
      </w:pPr>
      <w:r w:rsidRPr="007735CD">
        <w:rPr>
          <w:color w:val="000000" w:themeColor="text1"/>
        </w:rPr>
        <w:t xml:space="preserve">The majority of groups (including civil servants, politicians, the general public trade unions, the media, the community and voluntary sector and social justice advocates) consulted as part of </w:t>
      </w:r>
      <w:r w:rsidR="00A800C2">
        <w:rPr>
          <w:color w:val="000000" w:themeColor="text1"/>
        </w:rPr>
        <w:t>T</w:t>
      </w:r>
      <w:r w:rsidRPr="007735CD">
        <w:rPr>
          <w:color w:val="000000" w:themeColor="text1"/>
        </w:rPr>
        <w:t xml:space="preserve">he Advocacy Initiative recognised that community and voluntary sector advocacy work had a role to play in a democratic society.  </w:t>
      </w:r>
    </w:p>
    <w:p w14:paraId="010A581B" w14:textId="77777777" w:rsidR="00E81DEB" w:rsidRDefault="007735CD" w:rsidP="00E81DEB">
      <w:pPr>
        <w:spacing w:line="240" w:lineRule="auto"/>
        <w:rPr>
          <w:color w:val="000000" w:themeColor="text1"/>
        </w:rPr>
      </w:pPr>
      <w:r w:rsidRPr="00E81DEB">
        <w:rPr>
          <w:color w:val="000000" w:themeColor="text1"/>
        </w:rPr>
        <w:t xml:space="preserve">Some believed that role was </w:t>
      </w:r>
      <w:r w:rsidR="00A35C41" w:rsidRPr="00E81DEB">
        <w:rPr>
          <w:color w:val="000000" w:themeColor="text1"/>
        </w:rPr>
        <w:t xml:space="preserve">specifically </w:t>
      </w:r>
      <w:r w:rsidRPr="00E81DEB">
        <w:rPr>
          <w:color w:val="000000" w:themeColor="text1"/>
        </w:rPr>
        <w:t>related to service provision</w:t>
      </w:r>
      <w:r w:rsidR="0013582C" w:rsidRPr="00E81DEB">
        <w:rPr>
          <w:color w:val="000000" w:themeColor="text1"/>
        </w:rPr>
        <w:t xml:space="preserve"> alone, others believed that advocacy should be linked to </w:t>
      </w:r>
      <w:r w:rsidR="00DA5CB7" w:rsidRPr="00E81DEB">
        <w:rPr>
          <w:color w:val="000000" w:themeColor="text1"/>
        </w:rPr>
        <w:t xml:space="preserve">service provision, </w:t>
      </w:r>
      <w:r w:rsidRPr="00E81DEB">
        <w:rPr>
          <w:color w:val="000000" w:themeColor="text1"/>
        </w:rPr>
        <w:t>while other</w:t>
      </w:r>
      <w:r w:rsidR="00CC6439" w:rsidRPr="00E81DEB">
        <w:rPr>
          <w:color w:val="000000" w:themeColor="text1"/>
        </w:rPr>
        <w:t>s</w:t>
      </w:r>
      <w:r w:rsidRPr="00E81DEB">
        <w:rPr>
          <w:color w:val="000000" w:themeColor="text1"/>
        </w:rPr>
        <w:t xml:space="preserve"> strongly believed that the sector and its social justice advocacy work had a </w:t>
      </w:r>
      <w:r w:rsidR="0013582C" w:rsidRPr="00E81DEB">
        <w:rPr>
          <w:color w:val="000000" w:themeColor="text1"/>
        </w:rPr>
        <w:t xml:space="preserve">distinct </w:t>
      </w:r>
      <w:r w:rsidRPr="00E81DEB">
        <w:rPr>
          <w:color w:val="000000" w:themeColor="text1"/>
        </w:rPr>
        <w:t>role to play in policy development</w:t>
      </w:r>
      <w:r w:rsidR="0013582C" w:rsidRPr="00E81DEB">
        <w:rPr>
          <w:color w:val="000000" w:themeColor="text1"/>
        </w:rPr>
        <w:t xml:space="preserve"> (that could be linked to service provision)</w:t>
      </w:r>
      <w:r w:rsidRPr="00E81DEB">
        <w:rPr>
          <w:color w:val="000000" w:themeColor="text1"/>
        </w:rPr>
        <w:t>.  All of the groups consulted had qu</w:t>
      </w:r>
      <w:r w:rsidR="00A35C41" w:rsidRPr="00E81DEB">
        <w:rPr>
          <w:color w:val="000000" w:themeColor="text1"/>
        </w:rPr>
        <w:t xml:space="preserve">estions in relation to how the social justice advocacy </w:t>
      </w:r>
      <w:r w:rsidRPr="00E81DEB">
        <w:rPr>
          <w:color w:val="000000" w:themeColor="text1"/>
        </w:rPr>
        <w:t>work was conducted</w:t>
      </w:r>
      <w:r w:rsidR="00CC6439" w:rsidRPr="00E81DEB">
        <w:rPr>
          <w:color w:val="000000" w:themeColor="text1"/>
        </w:rPr>
        <w:t xml:space="preserve"> in pra</w:t>
      </w:r>
      <w:r w:rsidR="00AD6487" w:rsidRPr="00E81DEB">
        <w:rPr>
          <w:color w:val="000000" w:themeColor="text1"/>
        </w:rPr>
        <w:t>ctice</w:t>
      </w:r>
      <w:r w:rsidRPr="00E81DEB">
        <w:rPr>
          <w:color w:val="000000" w:themeColor="text1"/>
        </w:rPr>
        <w:t xml:space="preserve">.  </w:t>
      </w:r>
      <w:r w:rsidR="00D77F2C" w:rsidRPr="00E81DEB">
        <w:rPr>
          <w:color w:val="000000" w:themeColor="text1"/>
        </w:rPr>
        <w:t xml:space="preserve">Our </w:t>
      </w:r>
      <w:r w:rsidR="00AD6487" w:rsidRPr="00E81DEB">
        <w:rPr>
          <w:color w:val="000000" w:themeColor="text1"/>
        </w:rPr>
        <w:t>2013</w:t>
      </w:r>
      <w:r w:rsidR="00654A4C" w:rsidRPr="00E81DEB">
        <w:rPr>
          <w:color w:val="000000" w:themeColor="text1"/>
        </w:rPr>
        <w:t xml:space="preserve"> </w:t>
      </w:r>
      <w:r w:rsidR="0018463E" w:rsidRPr="00E81DEB">
        <w:rPr>
          <w:color w:val="000000" w:themeColor="text1"/>
        </w:rPr>
        <w:t xml:space="preserve">funding study identified nine social justice advocacy objectives.  </w:t>
      </w:r>
      <w:r w:rsidR="00B43C47" w:rsidRPr="00E81DEB">
        <w:rPr>
          <w:color w:val="000000" w:themeColor="text1"/>
        </w:rPr>
        <w:t>We decided to retrospectively analyse the</w:t>
      </w:r>
      <w:r w:rsidR="0072798E" w:rsidRPr="00E81DEB">
        <w:rPr>
          <w:color w:val="000000" w:themeColor="text1"/>
        </w:rPr>
        <w:t xml:space="preserve"> </w:t>
      </w:r>
      <w:r w:rsidR="009B49C4" w:rsidRPr="00E81DEB">
        <w:rPr>
          <w:color w:val="000000" w:themeColor="text1"/>
        </w:rPr>
        <w:t xml:space="preserve">reports and </w:t>
      </w:r>
      <w:r w:rsidR="00B43C47" w:rsidRPr="00E81DEB">
        <w:rPr>
          <w:color w:val="000000" w:themeColor="text1"/>
        </w:rPr>
        <w:t xml:space="preserve">notes of interviews with different groups to explore the extent to which these groups attributed these objectives to community and voluntary sector social justice advocacy.  We found that some objectives were well understood while others were less well understood while others simply did not arise in the conversations with these different groups. </w:t>
      </w:r>
      <w:r w:rsidRPr="00E81DEB">
        <w:rPr>
          <w:color w:val="000000" w:themeColor="text1"/>
        </w:rPr>
        <w:t>See Table 4.1</w:t>
      </w:r>
      <w:r w:rsidR="00B43C47" w:rsidRPr="00E81DEB">
        <w:rPr>
          <w:color w:val="000000" w:themeColor="text1"/>
        </w:rPr>
        <w:t xml:space="preserve"> for details of this retrospective analysis</w:t>
      </w:r>
      <w:r w:rsidR="00E81DEB" w:rsidRPr="00E81DEB">
        <w:rPr>
          <w:color w:val="000000" w:themeColor="text1"/>
        </w:rPr>
        <w:t xml:space="preserve"> which indicates that:</w:t>
      </w:r>
    </w:p>
    <w:p w14:paraId="4B9FD096" w14:textId="05AB94CC" w:rsidR="00502FAD" w:rsidRPr="00E81DEB" w:rsidRDefault="00880DC2" w:rsidP="007C0CDD">
      <w:pPr>
        <w:pStyle w:val="ListParagraph"/>
        <w:numPr>
          <w:ilvl w:val="0"/>
          <w:numId w:val="29"/>
        </w:numPr>
        <w:spacing w:line="240" w:lineRule="auto"/>
        <w:rPr>
          <w:color w:val="000000" w:themeColor="text1"/>
        </w:rPr>
      </w:pPr>
      <w:r w:rsidRPr="00E81DEB">
        <w:rPr>
          <w:color w:val="000000" w:themeColor="text1"/>
        </w:rPr>
        <w:lastRenderedPageBreak/>
        <w:t xml:space="preserve">The role of community and voluntary social justice advocacy in enabling minority </w:t>
      </w:r>
      <w:r w:rsidR="004A4C74" w:rsidRPr="00E81DEB">
        <w:rPr>
          <w:color w:val="000000" w:themeColor="text1"/>
        </w:rPr>
        <w:t>views to be heard and in providing ‘ground truth</w:t>
      </w:r>
      <w:r w:rsidR="007C0CDD">
        <w:rPr>
          <w:color w:val="000000" w:themeColor="text1"/>
        </w:rPr>
        <w:t>’</w:t>
      </w:r>
      <w:r w:rsidR="004A4C74" w:rsidRPr="00E81DEB">
        <w:rPr>
          <w:color w:val="000000" w:themeColor="text1"/>
        </w:rPr>
        <w:t xml:space="preserve"> to government </w:t>
      </w:r>
      <w:r w:rsidR="00502FAD" w:rsidRPr="00E81DEB">
        <w:rPr>
          <w:color w:val="000000" w:themeColor="text1"/>
        </w:rPr>
        <w:t xml:space="preserve">are </w:t>
      </w:r>
      <w:r w:rsidR="004A4C74" w:rsidRPr="00E81DEB">
        <w:rPr>
          <w:color w:val="000000" w:themeColor="text1"/>
        </w:rPr>
        <w:t xml:space="preserve">clearly </w:t>
      </w:r>
      <w:r w:rsidR="00E81DEB">
        <w:rPr>
          <w:color w:val="000000" w:themeColor="text1"/>
        </w:rPr>
        <w:t xml:space="preserve">and widely </w:t>
      </w:r>
      <w:r w:rsidR="004A4C74" w:rsidRPr="00E81DEB">
        <w:rPr>
          <w:color w:val="000000" w:themeColor="text1"/>
        </w:rPr>
        <w:t>valued</w:t>
      </w:r>
      <w:r w:rsidR="00E81DEB">
        <w:rPr>
          <w:color w:val="000000" w:themeColor="text1"/>
        </w:rPr>
        <w:t>.</w:t>
      </w:r>
      <w:r w:rsidR="004A4C74" w:rsidRPr="00E81DEB">
        <w:rPr>
          <w:color w:val="000000" w:themeColor="text1"/>
        </w:rPr>
        <w:t xml:space="preserve"> </w:t>
      </w:r>
    </w:p>
    <w:p w14:paraId="458EC7ED" w14:textId="2CB3CA9C" w:rsidR="00502FAD" w:rsidRDefault="004A4C74" w:rsidP="007C0CDD">
      <w:pPr>
        <w:pStyle w:val="ListParagraph"/>
        <w:numPr>
          <w:ilvl w:val="0"/>
          <w:numId w:val="28"/>
        </w:numPr>
        <w:spacing w:line="240" w:lineRule="auto"/>
        <w:rPr>
          <w:color w:val="000000" w:themeColor="text1"/>
        </w:rPr>
      </w:pPr>
      <w:r w:rsidRPr="00502FAD">
        <w:rPr>
          <w:color w:val="000000" w:themeColor="text1"/>
        </w:rPr>
        <w:t xml:space="preserve">The role of the sector in mobilising citizens, improving policies and providing expertise </w:t>
      </w:r>
      <w:r w:rsidR="00E81DEB">
        <w:rPr>
          <w:color w:val="000000" w:themeColor="text1"/>
        </w:rPr>
        <w:t>in contras</w:t>
      </w:r>
      <w:r w:rsidRPr="00502FAD">
        <w:rPr>
          <w:color w:val="000000" w:themeColor="text1"/>
        </w:rPr>
        <w:t xml:space="preserve">t were valued by </w:t>
      </w:r>
      <w:r w:rsidR="007C0CDD">
        <w:rPr>
          <w:color w:val="000000" w:themeColor="text1"/>
        </w:rPr>
        <w:t xml:space="preserve">some </w:t>
      </w:r>
      <w:r w:rsidRPr="00502FAD">
        <w:rPr>
          <w:color w:val="000000" w:themeColor="text1"/>
        </w:rPr>
        <w:t>policy makers, the unions, the secto</w:t>
      </w:r>
      <w:r w:rsidR="00502FAD">
        <w:rPr>
          <w:color w:val="000000" w:themeColor="text1"/>
        </w:rPr>
        <w:t>r</w:t>
      </w:r>
      <w:r w:rsidRPr="00502FAD">
        <w:rPr>
          <w:color w:val="000000" w:themeColor="text1"/>
        </w:rPr>
        <w:t xml:space="preserve"> and people experiencing the issues</w:t>
      </w:r>
      <w:r w:rsidR="007C0CDD">
        <w:rPr>
          <w:color w:val="000000" w:themeColor="text1"/>
        </w:rPr>
        <w:t>, but</w:t>
      </w:r>
      <w:r w:rsidR="00E81DEB">
        <w:rPr>
          <w:color w:val="000000" w:themeColor="text1"/>
        </w:rPr>
        <w:t xml:space="preserve"> less clear and</w:t>
      </w:r>
      <w:r w:rsidR="00502FAD">
        <w:rPr>
          <w:color w:val="000000" w:themeColor="text1"/>
        </w:rPr>
        <w:t xml:space="preserve"> less valued and </w:t>
      </w:r>
      <w:r w:rsidR="00E81DEB">
        <w:rPr>
          <w:color w:val="000000" w:themeColor="text1"/>
        </w:rPr>
        <w:t>understood</w:t>
      </w:r>
      <w:r w:rsidR="00502FAD">
        <w:rPr>
          <w:color w:val="000000" w:themeColor="text1"/>
        </w:rPr>
        <w:t xml:space="preserve"> by the general public and the media in particular</w:t>
      </w:r>
      <w:r w:rsidRPr="00502FAD">
        <w:rPr>
          <w:color w:val="000000" w:themeColor="text1"/>
        </w:rPr>
        <w:t xml:space="preserve">. </w:t>
      </w:r>
    </w:p>
    <w:p w14:paraId="05008530" w14:textId="20B7B5A2" w:rsidR="00502FAD" w:rsidRDefault="004A4C74" w:rsidP="007C0CDD">
      <w:pPr>
        <w:pStyle w:val="ListParagraph"/>
        <w:numPr>
          <w:ilvl w:val="0"/>
          <w:numId w:val="28"/>
        </w:numPr>
        <w:spacing w:line="240" w:lineRule="auto"/>
        <w:rPr>
          <w:color w:val="000000" w:themeColor="text1"/>
        </w:rPr>
      </w:pPr>
      <w:r w:rsidRPr="00502FAD">
        <w:rPr>
          <w:color w:val="000000" w:themeColor="text1"/>
        </w:rPr>
        <w:t>The roles of the sector in providing a longer term perspective</w:t>
      </w:r>
      <w:r w:rsidR="00502FAD" w:rsidRPr="00502FAD">
        <w:rPr>
          <w:color w:val="000000" w:themeColor="text1"/>
        </w:rPr>
        <w:t>, in monitoring implementation and enforcement and in providing a channel of communication f</w:t>
      </w:r>
      <w:r w:rsidR="00502FAD">
        <w:rPr>
          <w:color w:val="000000" w:themeColor="text1"/>
        </w:rPr>
        <w:t>r</w:t>
      </w:r>
      <w:r w:rsidR="00502FAD" w:rsidRPr="00502FAD">
        <w:rPr>
          <w:color w:val="000000" w:themeColor="text1"/>
        </w:rPr>
        <w:t xml:space="preserve">om government to the people and vice versa </w:t>
      </w:r>
      <w:r w:rsidR="00E81DEB">
        <w:rPr>
          <w:color w:val="000000" w:themeColor="text1"/>
        </w:rPr>
        <w:t xml:space="preserve">did not feature in discussions outside of </w:t>
      </w:r>
      <w:r w:rsidR="00502FAD" w:rsidRPr="00502FAD">
        <w:rPr>
          <w:color w:val="000000" w:themeColor="text1"/>
        </w:rPr>
        <w:t>the sector and those experiencing the issues.</w:t>
      </w:r>
    </w:p>
    <w:p w14:paraId="66D9C05D" w14:textId="1DEF1B62" w:rsidR="00E81DEB" w:rsidRPr="00C84E40" w:rsidRDefault="00E81DEB" w:rsidP="00C84E40">
      <w:pPr>
        <w:spacing w:line="240" w:lineRule="auto"/>
        <w:ind w:left="360"/>
        <w:rPr>
          <w:color w:val="000000" w:themeColor="text1"/>
        </w:rPr>
      </w:pPr>
      <w:r w:rsidRPr="00C84E40">
        <w:rPr>
          <w:color w:val="000000" w:themeColor="text1"/>
        </w:rPr>
        <w:t>Th</w:t>
      </w:r>
      <w:r w:rsidR="00C84E40">
        <w:rPr>
          <w:color w:val="000000" w:themeColor="text1"/>
        </w:rPr>
        <w:t xml:space="preserve">is analysis </w:t>
      </w:r>
      <w:r w:rsidRPr="00C84E40">
        <w:rPr>
          <w:color w:val="000000" w:themeColor="text1"/>
        </w:rPr>
        <w:t>pose</w:t>
      </w:r>
      <w:r w:rsidR="00C84E40">
        <w:rPr>
          <w:color w:val="000000" w:themeColor="text1"/>
        </w:rPr>
        <w:t>s</w:t>
      </w:r>
      <w:r w:rsidRPr="00C84E40">
        <w:rPr>
          <w:color w:val="000000" w:themeColor="text1"/>
        </w:rPr>
        <w:t xml:space="preserve"> </w:t>
      </w:r>
      <w:r>
        <w:rPr>
          <w:color w:val="000000" w:themeColor="text1"/>
        </w:rPr>
        <w:t xml:space="preserve">clear </w:t>
      </w:r>
      <w:r w:rsidRPr="00C84E40">
        <w:rPr>
          <w:color w:val="000000" w:themeColor="text1"/>
        </w:rPr>
        <w:t xml:space="preserve">challenges for the social justice advocacy and social justice </w:t>
      </w:r>
      <w:r w:rsidRPr="00E81DEB">
        <w:rPr>
          <w:color w:val="000000" w:themeColor="text1"/>
        </w:rPr>
        <w:t>advocates</w:t>
      </w:r>
      <w:r>
        <w:rPr>
          <w:color w:val="000000" w:themeColor="text1"/>
        </w:rPr>
        <w:t xml:space="preserve"> in relation to how they can enhance awareness of their role</w:t>
      </w:r>
      <w:r w:rsidR="00C84E40">
        <w:rPr>
          <w:color w:val="000000" w:themeColor="text1"/>
        </w:rPr>
        <w:t>s</w:t>
      </w:r>
      <w:r>
        <w:rPr>
          <w:color w:val="000000" w:themeColor="text1"/>
        </w:rPr>
        <w:t xml:space="preserve"> and </w:t>
      </w:r>
      <w:r w:rsidR="00C84E40">
        <w:rPr>
          <w:color w:val="000000" w:themeColor="text1"/>
        </w:rPr>
        <w:t xml:space="preserve">potential to </w:t>
      </w:r>
      <w:r>
        <w:rPr>
          <w:color w:val="000000" w:themeColor="text1"/>
        </w:rPr>
        <w:t>contribut</w:t>
      </w:r>
      <w:r w:rsidR="00C84E40">
        <w:rPr>
          <w:color w:val="000000" w:themeColor="text1"/>
        </w:rPr>
        <w:t xml:space="preserve">e to enhanced decision making.  </w:t>
      </w:r>
      <w:r w:rsidR="007C0CDD">
        <w:rPr>
          <w:color w:val="000000" w:themeColor="text1"/>
        </w:rPr>
        <w:t>There are different conceptions of, and priorities associated with</w:t>
      </w:r>
      <w:r w:rsidR="00362093">
        <w:rPr>
          <w:color w:val="000000" w:themeColor="text1"/>
        </w:rPr>
        <w:t>,</w:t>
      </w:r>
      <w:r w:rsidR="007C0CDD">
        <w:rPr>
          <w:color w:val="000000" w:themeColor="text1"/>
        </w:rPr>
        <w:t xml:space="preserve"> the role of social justice advocacy.</w:t>
      </w:r>
    </w:p>
    <w:p w14:paraId="436858C9" w14:textId="77777777" w:rsidR="00CC6439" w:rsidRDefault="00CC6439" w:rsidP="007735CD">
      <w:pPr>
        <w:spacing w:line="240" w:lineRule="auto"/>
        <w:rPr>
          <w:color w:val="000000" w:themeColor="text1"/>
        </w:rPr>
      </w:pPr>
    </w:p>
    <w:p w14:paraId="78840909" w14:textId="77777777" w:rsidR="00A96DCD" w:rsidRDefault="00A96DCD" w:rsidP="007735CD">
      <w:pPr>
        <w:spacing w:line="240" w:lineRule="auto"/>
        <w:rPr>
          <w:color w:val="000000" w:themeColor="text1"/>
        </w:rPr>
        <w:sectPr w:rsidR="00A96DCD" w:rsidSect="00D22AD5">
          <w:footerReference w:type="default" r:id="rId15"/>
          <w:pgSz w:w="11906" w:h="16838"/>
          <w:pgMar w:top="1134" w:right="1134" w:bottom="1134" w:left="1134" w:header="709" w:footer="709" w:gutter="0"/>
          <w:cols w:space="708"/>
          <w:docGrid w:linePitch="360"/>
        </w:sectPr>
      </w:pPr>
    </w:p>
    <w:tbl>
      <w:tblPr>
        <w:tblStyle w:val="TableGrid"/>
        <w:tblW w:w="14283" w:type="dxa"/>
        <w:tblLayout w:type="fixed"/>
        <w:tblLook w:val="04A0" w:firstRow="1" w:lastRow="0" w:firstColumn="1" w:lastColumn="0" w:noHBand="0" w:noVBand="1"/>
      </w:tblPr>
      <w:tblGrid>
        <w:gridCol w:w="3510"/>
        <w:gridCol w:w="2268"/>
        <w:gridCol w:w="1560"/>
        <w:gridCol w:w="1559"/>
        <w:gridCol w:w="1843"/>
        <w:gridCol w:w="1701"/>
        <w:gridCol w:w="1842"/>
      </w:tblGrid>
      <w:tr w:rsidR="00D12950" w:rsidRPr="00186E74" w14:paraId="76DC52FF" w14:textId="71C6CE71" w:rsidTr="00BD5C64">
        <w:trPr>
          <w:trHeight w:val="578"/>
        </w:trPr>
        <w:tc>
          <w:tcPr>
            <w:tcW w:w="14283" w:type="dxa"/>
            <w:gridSpan w:val="7"/>
            <w:shd w:val="clear" w:color="auto" w:fill="B2A1C7" w:themeFill="accent4" w:themeFillTint="99"/>
          </w:tcPr>
          <w:p w14:paraId="4FB2EADF" w14:textId="3EB5DD79" w:rsidR="00D12950" w:rsidRPr="00186E74" w:rsidRDefault="00D12950" w:rsidP="00ED47A2">
            <w:pPr>
              <w:pStyle w:val="Heading4"/>
              <w:outlineLvl w:val="3"/>
            </w:pPr>
            <w:r w:rsidRPr="00186E74">
              <w:lastRenderedPageBreak/>
              <w:t xml:space="preserve">Table 4.1 </w:t>
            </w:r>
            <w:r w:rsidR="0056120D">
              <w:t xml:space="preserve">- </w:t>
            </w:r>
            <w:r w:rsidRPr="00186E74">
              <w:t>The value placed on community and voluntary sector social justice advocacy by different groups</w:t>
            </w:r>
          </w:p>
          <w:p w14:paraId="72EAA794" w14:textId="77777777" w:rsidR="00D12950" w:rsidRPr="00186E74" w:rsidRDefault="00D12950" w:rsidP="00186E74">
            <w:pPr>
              <w:rPr>
                <w:b/>
              </w:rPr>
            </w:pPr>
          </w:p>
        </w:tc>
      </w:tr>
      <w:tr w:rsidR="00C4411B" w:rsidRPr="00186E74" w14:paraId="21548568" w14:textId="2F2BD393" w:rsidTr="00993F9B">
        <w:tc>
          <w:tcPr>
            <w:tcW w:w="3510" w:type="dxa"/>
            <w:shd w:val="clear" w:color="auto" w:fill="B2A1C7" w:themeFill="accent4" w:themeFillTint="99"/>
          </w:tcPr>
          <w:p w14:paraId="41FB520E" w14:textId="77777777" w:rsidR="00C4411B" w:rsidRPr="00186E74" w:rsidRDefault="00C4411B" w:rsidP="007735CD">
            <w:pPr>
              <w:rPr>
                <w:i/>
              </w:rPr>
            </w:pPr>
            <w:r w:rsidRPr="00186E74">
              <w:rPr>
                <w:i/>
              </w:rPr>
              <w:t>Social justice advocacy objectives</w:t>
            </w:r>
          </w:p>
          <w:p w14:paraId="73A0E630" w14:textId="2175CAF7" w:rsidR="00C4411B" w:rsidRPr="00186E74" w:rsidRDefault="00C4411B" w:rsidP="007735CD">
            <w:pPr>
              <w:rPr>
                <w:i/>
              </w:rPr>
            </w:pPr>
            <w:r w:rsidRPr="00186E74">
              <w:rPr>
                <w:i/>
              </w:rPr>
              <w:t>(Harvey 20</w:t>
            </w:r>
            <w:r w:rsidR="00D77F2C">
              <w:rPr>
                <w:i/>
              </w:rPr>
              <w:t>13</w:t>
            </w:r>
            <w:r w:rsidRPr="00186E74">
              <w:rPr>
                <w:i/>
              </w:rPr>
              <w:t>)</w:t>
            </w:r>
          </w:p>
        </w:tc>
        <w:tc>
          <w:tcPr>
            <w:tcW w:w="2268" w:type="dxa"/>
            <w:shd w:val="clear" w:color="auto" w:fill="B2A1C7" w:themeFill="accent4" w:themeFillTint="99"/>
          </w:tcPr>
          <w:p w14:paraId="7EABB6A5" w14:textId="07366C9E" w:rsidR="00C4411B" w:rsidRPr="00186E74" w:rsidRDefault="00C4411B" w:rsidP="00186E74">
            <w:pPr>
              <w:rPr>
                <w:i/>
              </w:rPr>
            </w:pPr>
            <w:r w:rsidRPr="00186E74">
              <w:rPr>
                <w:i/>
              </w:rPr>
              <w:t>Policy makers and influencers</w:t>
            </w:r>
            <w:r w:rsidRPr="00186E74">
              <w:rPr>
                <w:i/>
                <w:vertAlign w:val="superscript"/>
              </w:rPr>
              <w:t xml:space="preserve"> </w:t>
            </w:r>
            <w:r w:rsidRPr="00186E74">
              <w:rPr>
                <w:i/>
              </w:rPr>
              <w:t>(including civil servants and politicians)</w:t>
            </w:r>
          </w:p>
        </w:tc>
        <w:tc>
          <w:tcPr>
            <w:tcW w:w="1560" w:type="dxa"/>
            <w:shd w:val="clear" w:color="auto" w:fill="B2A1C7" w:themeFill="accent4" w:themeFillTint="99"/>
          </w:tcPr>
          <w:p w14:paraId="1C8AD7D9" w14:textId="3032700B" w:rsidR="00C4411B" w:rsidRPr="00186E74" w:rsidRDefault="00C4411B" w:rsidP="007735CD">
            <w:pPr>
              <w:rPr>
                <w:i/>
              </w:rPr>
            </w:pPr>
            <w:r w:rsidRPr="00186E74">
              <w:rPr>
                <w:i/>
              </w:rPr>
              <w:t>The general public</w:t>
            </w:r>
          </w:p>
        </w:tc>
        <w:tc>
          <w:tcPr>
            <w:tcW w:w="1559" w:type="dxa"/>
            <w:shd w:val="clear" w:color="auto" w:fill="B2A1C7" w:themeFill="accent4" w:themeFillTint="99"/>
          </w:tcPr>
          <w:p w14:paraId="158755B5" w14:textId="6B8A0A9D" w:rsidR="00C4411B" w:rsidRPr="00186E74" w:rsidRDefault="00C4411B" w:rsidP="007735CD">
            <w:pPr>
              <w:rPr>
                <w:i/>
              </w:rPr>
            </w:pPr>
            <w:r w:rsidRPr="00186E74">
              <w:rPr>
                <w:i/>
              </w:rPr>
              <w:t>Trade Unions</w:t>
            </w:r>
          </w:p>
        </w:tc>
        <w:tc>
          <w:tcPr>
            <w:tcW w:w="1843" w:type="dxa"/>
            <w:shd w:val="clear" w:color="auto" w:fill="B2A1C7" w:themeFill="accent4" w:themeFillTint="99"/>
          </w:tcPr>
          <w:p w14:paraId="03EFCB3D" w14:textId="6E0EBB7C" w:rsidR="00C4411B" w:rsidRPr="00186E74" w:rsidRDefault="00C4411B" w:rsidP="007735CD">
            <w:pPr>
              <w:rPr>
                <w:i/>
              </w:rPr>
            </w:pPr>
            <w:r w:rsidRPr="00186E74">
              <w:rPr>
                <w:i/>
              </w:rPr>
              <w:t>The media</w:t>
            </w:r>
          </w:p>
        </w:tc>
        <w:tc>
          <w:tcPr>
            <w:tcW w:w="1701" w:type="dxa"/>
            <w:shd w:val="clear" w:color="auto" w:fill="B2A1C7" w:themeFill="accent4" w:themeFillTint="99"/>
          </w:tcPr>
          <w:p w14:paraId="3D37D759" w14:textId="69BE2E92" w:rsidR="00C4411B" w:rsidRPr="00186E74" w:rsidRDefault="00C4411B" w:rsidP="007735CD">
            <w:pPr>
              <w:rPr>
                <w:i/>
              </w:rPr>
            </w:pPr>
            <w:r w:rsidRPr="00186E74">
              <w:rPr>
                <w:i/>
              </w:rPr>
              <w:t>People experiencing the issues</w:t>
            </w:r>
          </w:p>
        </w:tc>
        <w:tc>
          <w:tcPr>
            <w:tcW w:w="1842" w:type="dxa"/>
            <w:shd w:val="clear" w:color="auto" w:fill="B2A1C7" w:themeFill="accent4" w:themeFillTint="99"/>
          </w:tcPr>
          <w:p w14:paraId="3F607D27" w14:textId="09614609" w:rsidR="00C4411B" w:rsidRPr="00186E74" w:rsidRDefault="00C4411B" w:rsidP="007735CD">
            <w:pPr>
              <w:rPr>
                <w:i/>
              </w:rPr>
            </w:pPr>
            <w:r>
              <w:rPr>
                <w:i/>
              </w:rPr>
              <w:t>The community and voluntary sector</w:t>
            </w:r>
          </w:p>
        </w:tc>
      </w:tr>
      <w:tr w:rsidR="00C4411B" w:rsidRPr="00EF6ACB" w14:paraId="336019DF" w14:textId="73AE1755" w:rsidTr="00BD5C64">
        <w:tc>
          <w:tcPr>
            <w:tcW w:w="3510" w:type="dxa"/>
          </w:tcPr>
          <w:p w14:paraId="73CF0700" w14:textId="576B9564" w:rsidR="00C4411B" w:rsidRPr="009B49C4" w:rsidRDefault="00C4411B" w:rsidP="007C0CDD">
            <w:pPr>
              <w:pStyle w:val="ListParagraph"/>
              <w:numPr>
                <w:ilvl w:val="0"/>
                <w:numId w:val="26"/>
              </w:numPr>
              <w:ind w:left="426" w:hanging="426"/>
              <w:rPr>
                <w:color w:val="000000" w:themeColor="text1"/>
                <w:sz w:val="20"/>
                <w:szCs w:val="20"/>
              </w:rPr>
            </w:pPr>
            <w:r w:rsidRPr="009B49C4">
              <w:rPr>
                <w:sz w:val="20"/>
                <w:szCs w:val="20"/>
              </w:rPr>
              <w:t xml:space="preserve">Mobilise citizens </w:t>
            </w:r>
            <w:r w:rsidR="00AD6487">
              <w:rPr>
                <w:sz w:val="20"/>
                <w:szCs w:val="20"/>
              </w:rPr>
              <w:t>and</w:t>
            </w:r>
            <w:r w:rsidRPr="009B49C4">
              <w:rPr>
                <w:sz w:val="20"/>
                <w:szCs w:val="20"/>
              </w:rPr>
              <w:t xml:space="preserve"> channel participation </w:t>
            </w:r>
          </w:p>
        </w:tc>
        <w:tc>
          <w:tcPr>
            <w:tcW w:w="2268" w:type="dxa"/>
          </w:tcPr>
          <w:p w14:paraId="684C7625" w14:textId="3159D16B" w:rsidR="00C4411B" w:rsidRPr="00EF6ACB" w:rsidRDefault="00C4411B" w:rsidP="007735CD">
            <w:pPr>
              <w:rPr>
                <w:color w:val="000000" w:themeColor="text1"/>
                <w:sz w:val="20"/>
                <w:szCs w:val="20"/>
              </w:rPr>
            </w:pPr>
            <w:r w:rsidRPr="00C84E40">
              <w:rPr>
                <w:b/>
                <w:color w:val="000000" w:themeColor="text1"/>
                <w:sz w:val="20"/>
                <w:szCs w:val="20"/>
              </w:rPr>
              <w:t>Yes</w:t>
            </w:r>
            <w:r w:rsidRPr="00993F9B">
              <w:rPr>
                <w:color w:val="000000" w:themeColor="text1"/>
                <w:sz w:val="20"/>
                <w:szCs w:val="20"/>
              </w:rPr>
              <w:t>,</w:t>
            </w:r>
            <w:r w:rsidRPr="00EF6ACB">
              <w:rPr>
                <w:color w:val="000000" w:themeColor="text1"/>
                <w:sz w:val="20"/>
                <w:szCs w:val="20"/>
              </w:rPr>
              <w:t xml:space="preserve"> assuming the group is representative</w:t>
            </w:r>
          </w:p>
        </w:tc>
        <w:tc>
          <w:tcPr>
            <w:tcW w:w="1560" w:type="dxa"/>
            <w:vMerge w:val="restart"/>
          </w:tcPr>
          <w:p w14:paraId="201704F7" w14:textId="77777777" w:rsidR="00C4411B" w:rsidRPr="00EF6ACB" w:rsidRDefault="00C4411B" w:rsidP="00B43C47">
            <w:pPr>
              <w:rPr>
                <w:color w:val="000000" w:themeColor="text1"/>
                <w:sz w:val="20"/>
                <w:szCs w:val="20"/>
              </w:rPr>
            </w:pPr>
            <w:r>
              <w:rPr>
                <w:color w:val="000000" w:themeColor="text1"/>
                <w:sz w:val="20"/>
                <w:szCs w:val="20"/>
              </w:rPr>
              <w:t>This was not explored with/by this group</w:t>
            </w:r>
          </w:p>
          <w:p w14:paraId="585D600D" w14:textId="688E496C" w:rsidR="00C4411B" w:rsidRPr="00EF6ACB" w:rsidRDefault="00C4411B" w:rsidP="007735CD">
            <w:pPr>
              <w:rPr>
                <w:color w:val="000000" w:themeColor="text1"/>
                <w:sz w:val="20"/>
                <w:szCs w:val="20"/>
              </w:rPr>
            </w:pPr>
          </w:p>
        </w:tc>
        <w:tc>
          <w:tcPr>
            <w:tcW w:w="1559" w:type="dxa"/>
          </w:tcPr>
          <w:p w14:paraId="113AC12C" w14:textId="4EA8C9C9" w:rsidR="00C4411B" w:rsidRPr="00EF6ACB" w:rsidRDefault="00C4411B" w:rsidP="00C4411B">
            <w:pPr>
              <w:rPr>
                <w:color w:val="000000" w:themeColor="text1"/>
                <w:sz w:val="20"/>
                <w:szCs w:val="20"/>
              </w:rPr>
            </w:pPr>
            <w:r w:rsidRPr="00993F9B">
              <w:rPr>
                <w:b/>
                <w:sz w:val="20"/>
                <w:szCs w:val="20"/>
              </w:rPr>
              <w:t>Yes</w:t>
            </w:r>
            <w:r>
              <w:rPr>
                <w:sz w:val="20"/>
                <w:szCs w:val="20"/>
              </w:rPr>
              <w:t xml:space="preserve">, it was noted that this is also a </w:t>
            </w:r>
            <w:r w:rsidRPr="00EF6ACB">
              <w:rPr>
                <w:sz w:val="20"/>
                <w:szCs w:val="20"/>
              </w:rPr>
              <w:t>role of the Trade Unions</w:t>
            </w:r>
          </w:p>
        </w:tc>
        <w:tc>
          <w:tcPr>
            <w:tcW w:w="1843" w:type="dxa"/>
            <w:vMerge w:val="restart"/>
          </w:tcPr>
          <w:p w14:paraId="16115E6C" w14:textId="7EA2CACD" w:rsidR="00C4411B" w:rsidRPr="00EF6ACB" w:rsidRDefault="00C4411B" w:rsidP="007735CD">
            <w:pPr>
              <w:rPr>
                <w:color w:val="000000" w:themeColor="text1"/>
                <w:sz w:val="20"/>
                <w:szCs w:val="20"/>
              </w:rPr>
            </w:pPr>
            <w:r w:rsidRPr="00EF6ACB">
              <w:rPr>
                <w:color w:val="000000" w:themeColor="text1"/>
                <w:sz w:val="20"/>
                <w:szCs w:val="20"/>
              </w:rPr>
              <w:t>There was a lack of clarity about the overall purpose of the sector</w:t>
            </w:r>
          </w:p>
        </w:tc>
        <w:tc>
          <w:tcPr>
            <w:tcW w:w="1701" w:type="dxa"/>
            <w:vMerge w:val="restart"/>
          </w:tcPr>
          <w:p w14:paraId="07D1451D" w14:textId="516CA963" w:rsidR="00C4411B" w:rsidRPr="00EF6ACB" w:rsidRDefault="00C4411B" w:rsidP="007735CD">
            <w:pPr>
              <w:rPr>
                <w:color w:val="000000" w:themeColor="text1"/>
                <w:sz w:val="20"/>
                <w:szCs w:val="20"/>
              </w:rPr>
            </w:pPr>
            <w:r w:rsidRPr="00993F9B">
              <w:rPr>
                <w:b/>
                <w:color w:val="000000" w:themeColor="text1"/>
                <w:sz w:val="20"/>
                <w:szCs w:val="20"/>
              </w:rPr>
              <w:t>Yes</w:t>
            </w:r>
            <w:r>
              <w:rPr>
                <w:color w:val="000000" w:themeColor="text1"/>
                <w:sz w:val="20"/>
                <w:szCs w:val="20"/>
              </w:rPr>
              <w:t xml:space="preserve"> but needs to be resourced to do this effectively)</w:t>
            </w:r>
          </w:p>
        </w:tc>
        <w:tc>
          <w:tcPr>
            <w:tcW w:w="1842" w:type="dxa"/>
          </w:tcPr>
          <w:p w14:paraId="78C213BB" w14:textId="41DB3DF4" w:rsidR="00C4411B" w:rsidRPr="00EF6ACB" w:rsidRDefault="00D12950" w:rsidP="005B2339">
            <w:pPr>
              <w:rPr>
                <w:color w:val="000000" w:themeColor="text1"/>
                <w:sz w:val="20"/>
                <w:szCs w:val="20"/>
              </w:rPr>
            </w:pPr>
            <w:r w:rsidRPr="005B2339">
              <w:rPr>
                <w:b/>
                <w:color w:val="000000" w:themeColor="text1"/>
                <w:sz w:val="20"/>
                <w:szCs w:val="20"/>
              </w:rPr>
              <w:t>Yes,</w:t>
            </w:r>
            <w:r>
              <w:rPr>
                <w:color w:val="000000" w:themeColor="text1"/>
                <w:sz w:val="20"/>
                <w:szCs w:val="20"/>
              </w:rPr>
              <w:t xml:space="preserve"> </w:t>
            </w:r>
            <w:r w:rsidR="005B2339">
              <w:rPr>
                <w:color w:val="000000" w:themeColor="text1"/>
                <w:sz w:val="20"/>
                <w:szCs w:val="20"/>
              </w:rPr>
              <w:t xml:space="preserve">it requires </w:t>
            </w:r>
            <w:r>
              <w:rPr>
                <w:color w:val="000000" w:themeColor="text1"/>
                <w:sz w:val="20"/>
                <w:szCs w:val="20"/>
              </w:rPr>
              <w:t>a clear connection to the excluded group/issue.</w:t>
            </w:r>
          </w:p>
        </w:tc>
      </w:tr>
      <w:tr w:rsidR="00C4411B" w:rsidRPr="00EF6ACB" w14:paraId="5986BDBA" w14:textId="487BF6E0" w:rsidTr="00BD5C64">
        <w:tc>
          <w:tcPr>
            <w:tcW w:w="3510" w:type="dxa"/>
          </w:tcPr>
          <w:p w14:paraId="45707ABC" w14:textId="799E4585" w:rsidR="00C4411B" w:rsidRPr="009B49C4" w:rsidRDefault="00C4411B" w:rsidP="007C0CDD">
            <w:pPr>
              <w:pStyle w:val="ListParagraph"/>
              <w:numPr>
                <w:ilvl w:val="0"/>
                <w:numId w:val="26"/>
              </w:numPr>
              <w:autoSpaceDE w:val="0"/>
              <w:autoSpaceDN w:val="0"/>
              <w:adjustRightInd w:val="0"/>
              <w:ind w:left="426" w:hanging="426"/>
              <w:rPr>
                <w:sz w:val="20"/>
                <w:szCs w:val="20"/>
              </w:rPr>
            </w:pPr>
            <w:r w:rsidRPr="009B49C4">
              <w:rPr>
                <w:sz w:val="20"/>
                <w:szCs w:val="20"/>
              </w:rPr>
              <w:t>Improve policies</w:t>
            </w:r>
          </w:p>
        </w:tc>
        <w:tc>
          <w:tcPr>
            <w:tcW w:w="2268" w:type="dxa"/>
          </w:tcPr>
          <w:p w14:paraId="07215598" w14:textId="744072C9" w:rsidR="00C4411B" w:rsidRPr="00EF6ACB" w:rsidRDefault="00C4411B" w:rsidP="007735CD">
            <w:pPr>
              <w:rPr>
                <w:color w:val="000000" w:themeColor="text1"/>
                <w:sz w:val="20"/>
                <w:szCs w:val="20"/>
              </w:rPr>
            </w:pPr>
            <w:r w:rsidRPr="00993F9B">
              <w:rPr>
                <w:b/>
                <w:color w:val="000000" w:themeColor="text1"/>
                <w:sz w:val="20"/>
                <w:szCs w:val="20"/>
              </w:rPr>
              <w:t>Yes,</w:t>
            </w:r>
            <w:r w:rsidRPr="00EF6ACB">
              <w:rPr>
                <w:color w:val="000000" w:themeColor="text1"/>
                <w:sz w:val="20"/>
                <w:szCs w:val="20"/>
              </w:rPr>
              <w:t xml:space="preserve"> assuming they have a sufficient understanding of the policy making processes</w:t>
            </w:r>
          </w:p>
        </w:tc>
        <w:tc>
          <w:tcPr>
            <w:tcW w:w="1560" w:type="dxa"/>
            <w:vMerge/>
          </w:tcPr>
          <w:p w14:paraId="24DD4CC9" w14:textId="4C637F4A" w:rsidR="00C4411B" w:rsidRPr="00EF6ACB" w:rsidRDefault="00C4411B" w:rsidP="007735CD">
            <w:pPr>
              <w:rPr>
                <w:color w:val="000000" w:themeColor="text1"/>
                <w:sz w:val="20"/>
                <w:szCs w:val="20"/>
              </w:rPr>
            </w:pPr>
          </w:p>
        </w:tc>
        <w:tc>
          <w:tcPr>
            <w:tcW w:w="1559" w:type="dxa"/>
          </w:tcPr>
          <w:p w14:paraId="58D78712" w14:textId="5B8622C1" w:rsidR="00C4411B" w:rsidRPr="00EF6ACB" w:rsidRDefault="00C4411B" w:rsidP="00C4411B">
            <w:pPr>
              <w:rPr>
                <w:color w:val="000000" w:themeColor="text1"/>
                <w:sz w:val="20"/>
                <w:szCs w:val="20"/>
              </w:rPr>
            </w:pPr>
            <w:r w:rsidRPr="00993F9B">
              <w:rPr>
                <w:b/>
                <w:color w:val="000000" w:themeColor="text1"/>
                <w:sz w:val="20"/>
                <w:szCs w:val="20"/>
              </w:rPr>
              <w:t>Yes,</w:t>
            </w:r>
            <w:r>
              <w:rPr>
                <w:color w:val="000000" w:themeColor="text1"/>
                <w:sz w:val="20"/>
                <w:szCs w:val="20"/>
              </w:rPr>
              <w:t xml:space="preserve"> but need to ensure to </w:t>
            </w:r>
            <w:r w:rsidRPr="00EF6ACB">
              <w:rPr>
                <w:color w:val="000000" w:themeColor="text1"/>
                <w:sz w:val="20"/>
                <w:szCs w:val="20"/>
              </w:rPr>
              <w:t>maintain independence</w:t>
            </w:r>
          </w:p>
        </w:tc>
        <w:tc>
          <w:tcPr>
            <w:tcW w:w="1843" w:type="dxa"/>
            <w:vMerge/>
          </w:tcPr>
          <w:p w14:paraId="5F65A563" w14:textId="77777777" w:rsidR="00C4411B" w:rsidRPr="00EF6ACB" w:rsidRDefault="00C4411B" w:rsidP="007735CD">
            <w:pPr>
              <w:rPr>
                <w:color w:val="000000" w:themeColor="text1"/>
                <w:sz w:val="20"/>
                <w:szCs w:val="20"/>
              </w:rPr>
            </w:pPr>
          </w:p>
        </w:tc>
        <w:tc>
          <w:tcPr>
            <w:tcW w:w="1701" w:type="dxa"/>
            <w:vMerge/>
          </w:tcPr>
          <w:p w14:paraId="141926DB" w14:textId="77777777" w:rsidR="00C4411B" w:rsidRPr="00EF6ACB" w:rsidRDefault="00C4411B" w:rsidP="007735CD">
            <w:pPr>
              <w:rPr>
                <w:color w:val="000000" w:themeColor="text1"/>
                <w:sz w:val="20"/>
                <w:szCs w:val="20"/>
              </w:rPr>
            </w:pPr>
          </w:p>
        </w:tc>
        <w:tc>
          <w:tcPr>
            <w:tcW w:w="1842" w:type="dxa"/>
          </w:tcPr>
          <w:p w14:paraId="56BAD8A6" w14:textId="024BDFC5" w:rsidR="00C4411B" w:rsidRPr="00EF6ACB" w:rsidRDefault="00D12950" w:rsidP="007735CD">
            <w:pPr>
              <w:rPr>
                <w:color w:val="000000" w:themeColor="text1"/>
                <w:sz w:val="20"/>
                <w:szCs w:val="20"/>
              </w:rPr>
            </w:pPr>
            <w:r w:rsidRPr="005B2339">
              <w:rPr>
                <w:b/>
                <w:color w:val="000000" w:themeColor="text1"/>
                <w:sz w:val="20"/>
                <w:szCs w:val="20"/>
              </w:rPr>
              <w:t>Yes,</w:t>
            </w:r>
            <w:r>
              <w:rPr>
                <w:color w:val="000000" w:themeColor="text1"/>
                <w:sz w:val="20"/>
                <w:szCs w:val="20"/>
              </w:rPr>
              <w:t xml:space="preserve"> this is a key part of the work for many groups.</w:t>
            </w:r>
          </w:p>
        </w:tc>
      </w:tr>
      <w:tr w:rsidR="00C4411B" w:rsidRPr="00EF6ACB" w14:paraId="3E841683" w14:textId="59163A03" w:rsidTr="00BD5C64">
        <w:tc>
          <w:tcPr>
            <w:tcW w:w="3510" w:type="dxa"/>
          </w:tcPr>
          <w:p w14:paraId="4B1E8E69" w14:textId="2A96E364" w:rsidR="00C4411B" w:rsidRPr="009B49C4" w:rsidRDefault="00C4411B" w:rsidP="007C0CDD">
            <w:pPr>
              <w:pStyle w:val="ListParagraph"/>
              <w:numPr>
                <w:ilvl w:val="0"/>
                <w:numId w:val="26"/>
              </w:numPr>
              <w:autoSpaceDE w:val="0"/>
              <w:autoSpaceDN w:val="0"/>
              <w:adjustRightInd w:val="0"/>
              <w:ind w:left="426" w:hanging="426"/>
              <w:rPr>
                <w:sz w:val="20"/>
                <w:szCs w:val="20"/>
              </w:rPr>
            </w:pPr>
            <w:r w:rsidRPr="009B49C4">
              <w:rPr>
                <w:sz w:val="20"/>
                <w:szCs w:val="20"/>
              </w:rPr>
              <w:t>Provide expertise</w:t>
            </w:r>
          </w:p>
        </w:tc>
        <w:tc>
          <w:tcPr>
            <w:tcW w:w="2268" w:type="dxa"/>
          </w:tcPr>
          <w:p w14:paraId="6E4A3DE4" w14:textId="481725E6" w:rsidR="00C4411B" w:rsidRPr="00EF6ACB" w:rsidRDefault="00C4411B" w:rsidP="007735CD">
            <w:pPr>
              <w:rPr>
                <w:color w:val="000000" w:themeColor="text1"/>
                <w:sz w:val="20"/>
                <w:szCs w:val="20"/>
              </w:rPr>
            </w:pPr>
            <w:r w:rsidRPr="00993F9B">
              <w:rPr>
                <w:b/>
                <w:color w:val="000000" w:themeColor="text1"/>
                <w:sz w:val="20"/>
                <w:szCs w:val="20"/>
              </w:rPr>
              <w:t>Yes</w:t>
            </w:r>
            <w:r w:rsidR="00AD6487">
              <w:rPr>
                <w:color w:val="000000" w:themeColor="text1"/>
                <w:sz w:val="20"/>
                <w:szCs w:val="20"/>
              </w:rPr>
              <w:t xml:space="preserve">, </w:t>
            </w:r>
            <w:r w:rsidRPr="00EF6ACB">
              <w:rPr>
                <w:color w:val="000000" w:themeColor="text1"/>
                <w:sz w:val="20"/>
                <w:szCs w:val="20"/>
              </w:rPr>
              <w:t>focused research can be very useful</w:t>
            </w:r>
          </w:p>
        </w:tc>
        <w:tc>
          <w:tcPr>
            <w:tcW w:w="1560" w:type="dxa"/>
            <w:vMerge/>
          </w:tcPr>
          <w:p w14:paraId="31353550" w14:textId="0C344CBE" w:rsidR="00C4411B" w:rsidRPr="00EF6ACB" w:rsidRDefault="00C4411B" w:rsidP="007735CD">
            <w:pPr>
              <w:rPr>
                <w:color w:val="000000" w:themeColor="text1"/>
                <w:sz w:val="20"/>
                <w:szCs w:val="20"/>
              </w:rPr>
            </w:pPr>
          </w:p>
        </w:tc>
        <w:tc>
          <w:tcPr>
            <w:tcW w:w="1559" w:type="dxa"/>
          </w:tcPr>
          <w:p w14:paraId="614AFDAD" w14:textId="6AE90284" w:rsidR="00C4411B" w:rsidRPr="00EF6ACB" w:rsidRDefault="00C4411B" w:rsidP="007735CD">
            <w:pPr>
              <w:rPr>
                <w:color w:val="000000" w:themeColor="text1"/>
                <w:sz w:val="20"/>
                <w:szCs w:val="20"/>
              </w:rPr>
            </w:pPr>
            <w:r w:rsidRPr="00993F9B">
              <w:rPr>
                <w:b/>
                <w:color w:val="000000" w:themeColor="text1"/>
                <w:sz w:val="20"/>
                <w:szCs w:val="20"/>
              </w:rPr>
              <w:t>Yes</w:t>
            </w:r>
          </w:p>
        </w:tc>
        <w:tc>
          <w:tcPr>
            <w:tcW w:w="1843" w:type="dxa"/>
            <w:vMerge/>
          </w:tcPr>
          <w:p w14:paraId="14F2B7DB" w14:textId="77777777" w:rsidR="00C4411B" w:rsidRPr="00EF6ACB" w:rsidRDefault="00C4411B" w:rsidP="007735CD">
            <w:pPr>
              <w:rPr>
                <w:color w:val="000000" w:themeColor="text1"/>
                <w:sz w:val="20"/>
                <w:szCs w:val="20"/>
              </w:rPr>
            </w:pPr>
          </w:p>
        </w:tc>
        <w:tc>
          <w:tcPr>
            <w:tcW w:w="1701" w:type="dxa"/>
            <w:vMerge/>
          </w:tcPr>
          <w:p w14:paraId="6E257453" w14:textId="77777777" w:rsidR="00C4411B" w:rsidRPr="00EF6ACB" w:rsidRDefault="00C4411B" w:rsidP="007735CD">
            <w:pPr>
              <w:rPr>
                <w:color w:val="000000" w:themeColor="text1"/>
                <w:sz w:val="20"/>
                <w:szCs w:val="20"/>
              </w:rPr>
            </w:pPr>
          </w:p>
        </w:tc>
        <w:tc>
          <w:tcPr>
            <w:tcW w:w="1842" w:type="dxa"/>
          </w:tcPr>
          <w:p w14:paraId="44BC5989" w14:textId="1D6D6DD0" w:rsidR="00C4411B" w:rsidRPr="005B2339" w:rsidRDefault="009A5400" w:rsidP="009A5400">
            <w:pPr>
              <w:rPr>
                <w:b/>
                <w:color w:val="000000" w:themeColor="text1"/>
                <w:sz w:val="20"/>
                <w:szCs w:val="20"/>
              </w:rPr>
            </w:pPr>
            <w:r w:rsidRPr="005B2339">
              <w:rPr>
                <w:b/>
                <w:color w:val="000000" w:themeColor="text1"/>
                <w:sz w:val="20"/>
                <w:szCs w:val="20"/>
              </w:rPr>
              <w:t>Yes</w:t>
            </w:r>
          </w:p>
        </w:tc>
      </w:tr>
      <w:tr w:rsidR="00C4411B" w:rsidRPr="00EF6ACB" w14:paraId="29467172" w14:textId="08C3AB73" w:rsidTr="00BD5C64">
        <w:tc>
          <w:tcPr>
            <w:tcW w:w="3510" w:type="dxa"/>
          </w:tcPr>
          <w:p w14:paraId="4DBA5024" w14:textId="1A1989FA" w:rsidR="00C4411B" w:rsidRPr="009B49C4" w:rsidRDefault="00C4411B" w:rsidP="007C0CDD">
            <w:pPr>
              <w:pStyle w:val="ListParagraph"/>
              <w:numPr>
                <w:ilvl w:val="0"/>
                <w:numId w:val="26"/>
              </w:numPr>
              <w:autoSpaceDE w:val="0"/>
              <w:autoSpaceDN w:val="0"/>
              <w:adjustRightInd w:val="0"/>
              <w:ind w:left="426" w:hanging="426"/>
              <w:rPr>
                <w:sz w:val="20"/>
                <w:szCs w:val="20"/>
              </w:rPr>
            </w:pPr>
            <w:r w:rsidRPr="009B49C4">
              <w:rPr>
                <w:sz w:val="20"/>
                <w:szCs w:val="20"/>
              </w:rPr>
              <w:t>Promote a longer-term perspective</w:t>
            </w:r>
          </w:p>
        </w:tc>
        <w:tc>
          <w:tcPr>
            <w:tcW w:w="2268" w:type="dxa"/>
          </w:tcPr>
          <w:p w14:paraId="7FA140AD" w14:textId="3810548E" w:rsidR="00C4411B" w:rsidRPr="00EF6ACB" w:rsidRDefault="00C4411B" w:rsidP="00B222FF">
            <w:pPr>
              <w:rPr>
                <w:color w:val="000000" w:themeColor="text1"/>
                <w:sz w:val="20"/>
                <w:szCs w:val="20"/>
              </w:rPr>
            </w:pPr>
            <w:r w:rsidRPr="00EF6ACB">
              <w:rPr>
                <w:color w:val="000000" w:themeColor="text1"/>
                <w:sz w:val="20"/>
                <w:szCs w:val="20"/>
              </w:rPr>
              <w:t>This was not highlighted by this group</w:t>
            </w:r>
          </w:p>
        </w:tc>
        <w:tc>
          <w:tcPr>
            <w:tcW w:w="1560" w:type="dxa"/>
            <w:vMerge/>
          </w:tcPr>
          <w:p w14:paraId="683B379D" w14:textId="0167FD53" w:rsidR="00C4411B" w:rsidRPr="00EF6ACB" w:rsidRDefault="00C4411B" w:rsidP="007735CD">
            <w:pPr>
              <w:rPr>
                <w:color w:val="000000" w:themeColor="text1"/>
                <w:sz w:val="20"/>
                <w:szCs w:val="20"/>
              </w:rPr>
            </w:pPr>
          </w:p>
        </w:tc>
        <w:tc>
          <w:tcPr>
            <w:tcW w:w="1559" w:type="dxa"/>
          </w:tcPr>
          <w:p w14:paraId="42D16B29" w14:textId="3D1EBD56" w:rsidR="00C4411B" w:rsidRPr="00EF6ACB" w:rsidRDefault="00C4411B" w:rsidP="007735CD">
            <w:pPr>
              <w:rPr>
                <w:color w:val="000000" w:themeColor="text1"/>
                <w:sz w:val="20"/>
                <w:szCs w:val="20"/>
              </w:rPr>
            </w:pPr>
            <w:r>
              <w:rPr>
                <w:color w:val="000000" w:themeColor="text1"/>
                <w:sz w:val="20"/>
                <w:szCs w:val="20"/>
              </w:rPr>
              <w:t>This was not explored with/by this group</w:t>
            </w:r>
          </w:p>
        </w:tc>
        <w:tc>
          <w:tcPr>
            <w:tcW w:w="1843" w:type="dxa"/>
            <w:vMerge/>
          </w:tcPr>
          <w:p w14:paraId="7708D7A9" w14:textId="77777777" w:rsidR="00C4411B" w:rsidRPr="00EF6ACB" w:rsidRDefault="00C4411B" w:rsidP="007735CD">
            <w:pPr>
              <w:rPr>
                <w:color w:val="000000" w:themeColor="text1"/>
                <w:sz w:val="20"/>
                <w:szCs w:val="20"/>
              </w:rPr>
            </w:pPr>
          </w:p>
        </w:tc>
        <w:tc>
          <w:tcPr>
            <w:tcW w:w="1701" w:type="dxa"/>
            <w:vMerge/>
          </w:tcPr>
          <w:p w14:paraId="63724D5D" w14:textId="77777777" w:rsidR="00C4411B" w:rsidRPr="00EF6ACB" w:rsidRDefault="00C4411B" w:rsidP="007735CD">
            <w:pPr>
              <w:rPr>
                <w:color w:val="000000" w:themeColor="text1"/>
                <w:sz w:val="20"/>
                <w:szCs w:val="20"/>
              </w:rPr>
            </w:pPr>
          </w:p>
        </w:tc>
        <w:tc>
          <w:tcPr>
            <w:tcW w:w="1842" w:type="dxa"/>
          </w:tcPr>
          <w:p w14:paraId="5595039D" w14:textId="1A03BFD6" w:rsidR="00C4411B" w:rsidRPr="00EF6ACB" w:rsidRDefault="009A5400" w:rsidP="007735CD">
            <w:pPr>
              <w:rPr>
                <w:color w:val="000000" w:themeColor="text1"/>
                <w:sz w:val="20"/>
                <w:szCs w:val="20"/>
              </w:rPr>
            </w:pPr>
            <w:r w:rsidRPr="005B2339">
              <w:rPr>
                <w:b/>
                <w:color w:val="000000" w:themeColor="text1"/>
                <w:sz w:val="20"/>
                <w:szCs w:val="20"/>
              </w:rPr>
              <w:t>Yes,</w:t>
            </w:r>
            <w:r>
              <w:rPr>
                <w:color w:val="000000" w:themeColor="text1"/>
                <w:sz w:val="20"/>
                <w:szCs w:val="20"/>
              </w:rPr>
              <w:t xml:space="preserve"> but this is very difficult give the precariousness of funding and staff contracts.</w:t>
            </w:r>
          </w:p>
        </w:tc>
      </w:tr>
      <w:tr w:rsidR="00C4411B" w:rsidRPr="00EF6ACB" w14:paraId="65C0E230" w14:textId="50B877A6" w:rsidTr="00993F9B">
        <w:tc>
          <w:tcPr>
            <w:tcW w:w="3510" w:type="dxa"/>
          </w:tcPr>
          <w:p w14:paraId="1D65EFB9" w14:textId="226FF249" w:rsidR="00C4411B" w:rsidRPr="009B49C4" w:rsidRDefault="00C4411B" w:rsidP="007C0CDD">
            <w:pPr>
              <w:pStyle w:val="ListParagraph"/>
              <w:numPr>
                <w:ilvl w:val="0"/>
                <w:numId w:val="26"/>
              </w:numPr>
              <w:autoSpaceDE w:val="0"/>
              <w:autoSpaceDN w:val="0"/>
              <w:adjustRightInd w:val="0"/>
              <w:ind w:left="426" w:hanging="426"/>
              <w:rPr>
                <w:sz w:val="20"/>
                <w:szCs w:val="20"/>
              </w:rPr>
            </w:pPr>
            <w:r w:rsidRPr="009B49C4">
              <w:rPr>
                <w:sz w:val="20"/>
                <w:szCs w:val="20"/>
              </w:rPr>
              <w:t>Act as watchdogs of accountability improving the accountability of government</w:t>
            </w:r>
          </w:p>
        </w:tc>
        <w:tc>
          <w:tcPr>
            <w:tcW w:w="2268" w:type="dxa"/>
          </w:tcPr>
          <w:p w14:paraId="6AAA3E2F" w14:textId="48EF0B7E" w:rsidR="00C4411B" w:rsidRPr="00EF6ACB" w:rsidRDefault="00C4411B" w:rsidP="007735CD">
            <w:pPr>
              <w:rPr>
                <w:color w:val="000000" w:themeColor="text1"/>
                <w:sz w:val="20"/>
                <w:szCs w:val="20"/>
              </w:rPr>
            </w:pPr>
            <w:r w:rsidRPr="00EF6ACB">
              <w:rPr>
                <w:color w:val="000000" w:themeColor="text1"/>
                <w:sz w:val="20"/>
                <w:szCs w:val="20"/>
              </w:rPr>
              <w:t xml:space="preserve">This was highlighted by some members of this group and not others </w:t>
            </w:r>
          </w:p>
        </w:tc>
        <w:tc>
          <w:tcPr>
            <w:tcW w:w="1560" w:type="dxa"/>
          </w:tcPr>
          <w:p w14:paraId="202070D6" w14:textId="02BC6597" w:rsidR="00C4411B" w:rsidRPr="00993F9B" w:rsidRDefault="00C4411B" w:rsidP="007735CD">
            <w:pPr>
              <w:rPr>
                <w:b/>
                <w:color w:val="000000" w:themeColor="text1"/>
                <w:sz w:val="20"/>
                <w:szCs w:val="20"/>
              </w:rPr>
            </w:pPr>
            <w:r w:rsidRPr="00993F9B">
              <w:rPr>
                <w:b/>
                <w:color w:val="000000" w:themeColor="text1"/>
                <w:sz w:val="20"/>
                <w:szCs w:val="20"/>
              </w:rPr>
              <w:t>Yes</w:t>
            </w:r>
          </w:p>
        </w:tc>
        <w:tc>
          <w:tcPr>
            <w:tcW w:w="1559" w:type="dxa"/>
          </w:tcPr>
          <w:p w14:paraId="17957A77" w14:textId="1993EB83" w:rsidR="00C4411B" w:rsidRPr="00EF6ACB" w:rsidRDefault="00C4411B" w:rsidP="007735CD">
            <w:pPr>
              <w:rPr>
                <w:color w:val="000000" w:themeColor="text1"/>
                <w:sz w:val="20"/>
                <w:szCs w:val="20"/>
              </w:rPr>
            </w:pPr>
            <w:r>
              <w:rPr>
                <w:color w:val="000000" w:themeColor="text1"/>
                <w:sz w:val="20"/>
                <w:szCs w:val="20"/>
              </w:rPr>
              <w:t>This was not explored with/by this group</w:t>
            </w:r>
          </w:p>
        </w:tc>
        <w:tc>
          <w:tcPr>
            <w:tcW w:w="1843" w:type="dxa"/>
          </w:tcPr>
          <w:p w14:paraId="5C87EDF6" w14:textId="52FF32A8" w:rsidR="00C4411B" w:rsidRPr="00EF6ACB" w:rsidRDefault="00C4411B" w:rsidP="00993F9B">
            <w:pPr>
              <w:rPr>
                <w:color w:val="000000" w:themeColor="text1"/>
                <w:sz w:val="20"/>
                <w:szCs w:val="20"/>
              </w:rPr>
            </w:pPr>
            <w:r w:rsidRPr="00993F9B">
              <w:rPr>
                <w:b/>
                <w:color w:val="000000" w:themeColor="text1"/>
                <w:sz w:val="20"/>
                <w:szCs w:val="20"/>
              </w:rPr>
              <w:t>Yes</w:t>
            </w:r>
            <w:r>
              <w:rPr>
                <w:color w:val="000000" w:themeColor="text1"/>
                <w:sz w:val="20"/>
                <w:szCs w:val="20"/>
              </w:rPr>
              <w:t xml:space="preserve"> they c</w:t>
            </w:r>
            <w:r w:rsidRPr="00EF6ACB">
              <w:rPr>
                <w:color w:val="000000" w:themeColor="text1"/>
                <w:sz w:val="20"/>
                <w:szCs w:val="20"/>
              </w:rPr>
              <w:t xml:space="preserve">ould do this…. but have a lot of issues </w:t>
            </w:r>
            <w:r w:rsidR="00993F9B" w:rsidRPr="00EF6ACB">
              <w:rPr>
                <w:color w:val="000000" w:themeColor="text1"/>
                <w:sz w:val="20"/>
                <w:szCs w:val="20"/>
              </w:rPr>
              <w:t>to address before they could be taken seriously in this role</w:t>
            </w:r>
            <w:r w:rsidR="00993F9B" w:rsidRPr="00EF6ACB">
              <w:rPr>
                <w:sz w:val="20"/>
                <w:szCs w:val="20"/>
              </w:rPr>
              <w:t xml:space="preserve"> </w:t>
            </w:r>
            <w:r w:rsidRPr="00EF6ACB">
              <w:rPr>
                <w:sz w:val="20"/>
                <w:szCs w:val="20"/>
              </w:rPr>
              <w:t>(e.g. salary levels; ‘insider/elite’ status; lack of independence</w:t>
            </w:r>
            <w:r w:rsidR="00D12950">
              <w:rPr>
                <w:sz w:val="20"/>
                <w:szCs w:val="20"/>
              </w:rPr>
              <w:t xml:space="preserve">, </w:t>
            </w:r>
            <w:r w:rsidR="00993F9B">
              <w:rPr>
                <w:sz w:val="20"/>
                <w:szCs w:val="20"/>
              </w:rPr>
              <w:t xml:space="preserve">etc.) </w:t>
            </w:r>
          </w:p>
        </w:tc>
        <w:tc>
          <w:tcPr>
            <w:tcW w:w="1701" w:type="dxa"/>
            <w:vMerge/>
          </w:tcPr>
          <w:p w14:paraId="5C60B6DA" w14:textId="77777777" w:rsidR="00C4411B" w:rsidRPr="00EF6ACB" w:rsidRDefault="00C4411B" w:rsidP="007735CD">
            <w:pPr>
              <w:rPr>
                <w:color w:val="000000" w:themeColor="text1"/>
                <w:sz w:val="20"/>
                <w:szCs w:val="20"/>
              </w:rPr>
            </w:pPr>
          </w:p>
        </w:tc>
        <w:tc>
          <w:tcPr>
            <w:tcW w:w="1842" w:type="dxa"/>
          </w:tcPr>
          <w:p w14:paraId="4FD2FE6F" w14:textId="7DF93AA2" w:rsidR="00C4411B" w:rsidRPr="00EF6ACB" w:rsidRDefault="009A5400" w:rsidP="007735CD">
            <w:pPr>
              <w:rPr>
                <w:color w:val="000000" w:themeColor="text1"/>
                <w:sz w:val="20"/>
                <w:szCs w:val="20"/>
              </w:rPr>
            </w:pPr>
            <w:r w:rsidRPr="005B2339">
              <w:rPr>
                <w:b/>
                <w:color w:val="000000" w:themeColor="text1"/>
                <w:sz w:val="20"/>
                <w:szCs w:val="20"/>
              </w:rPr>
              <w:t>Yes,</w:t>
            </w:r>
            <w:r>
              <w:rPr>
                <w:color w:val="000000" w:themeColor="text1"/>
                <w:sz w:val="20"/>
                <w:szCs w:val="20"/>
              </w:rPr>
              <w:t xml:space="preserve"> but need enhanced levels of resources to be able to do this effectively</w:t>
            </w:r>
          </w:p>
        </w:tc>
      </w:tr>
      <w:tr w:rsidR="00C4411B" w:rsidRPr="00EF6ACB" w14:paraId="2933BA4D" w14:textId="6C77CE13" w:rsidTr="00993F9B">
        <w:tc>
          <w:tcPr>
            <w:tcW w:w="3510" w:type="dxa"/>
          </w:tcPr>
          <w:p w14:paraId="567D6D3F" w14:textId="66A7A86A" w:rsidR="00C4411B" w:rsidRPr="009B49C4" w:rsidRDefault="00C4411B" w:rsidP="007C0CDD">
            <w:pPr>
              <w:pStyle w:val="ListParagraph"/>
              <w:numPr>
                <w:ilvl w:val="0"/>
                <w:numId w:val="26"/>
              </w:numPr>
              <w:autoSpaceDE w:val="0"/>
              <w:autoSpaceDN w:val="0"/>
              <w:adjustRightInd w:val="0"/>
              <w:ind w:left="426" w:hanging="426"/>
              <w:rPr>
                <w:sz w:val="20"/>
                <w:szCs w:val="20"/>
              </w:rPr>
            </w:pPr>
            <w:r w:rsidRPr="009B49C4">
              <w:rPr>
                <w:sz w:val="20"/>
                <w:szCs w:val="20"/>
              </w:rPr>
              <w:t>Enable minority views to be heard that might otherwise be overlooked</w:t>
            </w:r>
          </w:p>
        </w:tc>
        <w:tc>
          <w:tcPr>
            <w:tcW w:w="2268" w:type="dxa"/>
            <w:vMerge w:val="restart"/>
          </w:tcPr>
          <w:p w14:paraId="24D4E54D" w14:textId="33695929" w:rsidR="00C4411B" w:rsidRPr="00EF6ACB" w:rsidRDefault="00C4411B" w:rsidP="007735CD">
            <w:pPr>
              <w:rPr>
                <w:color w:val="000000" w:themeColor="text1"/>
                <w:sz w:val="20"/>
                <w:szCs w:val="20"/>
              </w:rPr>
            </w:pPr>
            <w:r w:rsidRPr="00993F9B">
              <w:rPr>
                <w:b/>
                <w:color w:val="000000" w:themeColor="text1"/>
                <w:sz w:val="20"/>
                <w:szCs w:val="20"/>
              </w:rPr>
              <w:t>Yes</w:t>
            </w:r>
            <w:r w:rsidRPr="00EF6ACB">
              <w:rPr>
                <w:color w:val="000000" w:themeColor="text1"/>
                <w:sz w:val="20"/>
                <w:szCs w:val="20"/>
              </w:rPr>
              <w:t>, assuming the group is representative)</w:t>
            </w:r>
          </w:p>
        </w:tc>
        <w:tc>
          <w:tcPr>
            <w:tcW w:w="1560" w:type="dxa"/>
          </w:tcPr>
          <w:p w14:paraId="166D8587" w14:textId="76B4A7CE" w:rsidR="00C4411B" w:rsidRPr="00EF6ACB" w:rsidRDefault="00993F9B" w:rsidP="00764D08">
            <w:pPr>
              <w:rPr>
                <w:color w:val="000000" w:themeColor="text1"/>
                <w:sz w:val="20"/>
                <w:szCs w:val="20"/>
              </w:rPr>
            </w:pPr>
            <w:r w:rsidRPr="00993F9B">
              <w:rPr>
                <w:b/>
                <w:color w:val="000000" w:themeColor="text1"/>
                <w:sz w:val="20"/>
                <w:szCs w:val="20"/>
              </w:rPr>
              <w:t>Yes</w:t>
            </w:r>
            <w:r>
              <w:rPr>
                <w:color w:val="000000" w:themeColor="text1"/>
                <w:sz w:val="20"/>
                <w:szCs w:val="20"/>
              </w:rPr>
              <w:t xml:space="preserve"> for </w:t>
            </w:r>
            <w:r w:rsidR="00C4411B" w:rsidRPr="00EF6ACB">
              <w:rPr>
                <w:color w:val="000000" w:themeColor="text1"/>
                <w:sz w:val="20"/>
                <w:szCs w:val="20"/>
              </w:rPr>
              <w:t xml:space="preserve">groups that were publically </w:t>
            </w:r>
            <w:r w:rsidR="00C4411B" w:rsidRPr="00EF6ACB">
              <w:rPr>
                <w:color w:val="000000" w:themeColor="text1"/>
                <w:sz w:val="20"/>
                <w:szCs w:val="20"/>
              </w:rPr>
              <w:lastRenderedPageBreak/>
              <w:t xml:space="preserve">palatable  </w:t>
            </w:r>
          </w:p>
        </w:tc>
        <w:tc>
          <w:tcPr>
            <w:tcW w:w="1559" w:type="dxa"/>
            <w:vMerge w:val="restart"/>
          </w:tcPr>
          <w:p w14:paraId="02A85B9F" w14:textId="7B779C9A" w:rsidR="00C4411B" w:rsidRPr="00EF6ACB" w:rsidRDefault="00993F9B" w:rsidP="00993F9B">
            <w:pPr>
              <w:rPr>
                <w:color w:val="000000" w:themeColor="text1"/>
                <w:sz w:val="20"/>
                <w:szCs w:val="20"/>
              </w:rPr>
            </w:pPr>
            <w:r w:rsidRPr="00993F9B">
              <w:rPr>
                <w:b/>
                <w:color w:val="000000" w:themeColor="text1"/>
                <w:sz w:val="20"/>
                <w:szCs w:val="20"/>
              </w:rPr>
              <w:lastRenderedPageBreak/>
              <w:t>Yes</w:t>
            </w:r>
            <w:r>
              <w:rPr>
                <w:color w:val="000000" w:themeColor="text1"/>
                <w:sz w:val="20"/>
                <w:szCs w:val="20"/>
              </w:rPr>
              <w:t xml:space="preserve"> in</w:t>
            </w:r>
            <w:r w:rsidR="00C4411B" w:rsidRPr="00EF6ACB">
              <w:rPr>
                <w:color w:val="000000" w:themeColor="text1"/>
                <w:sz w:val="20"/>
                <w:szCs w:val="20"/>
              </w:rPr>
              <w:t xml:space="preserve"> a similar way to unions</w:t>
            </w:r>
          </w:p>
        </w:tc>
        <w:tc>
          <w:tcPr>
            <w:tcW w:w="1843" w:type="dxa"/>
          </w:tcPr>
          <w:p w14:paraId="0FCF927F" w14:textId="0CC198A4" w:rsidR="00C4411B" w:rsidRPr="00993F9B" w:rsidRDefault="00993F9B" w:rsidP="007735CD">
            <w:pPr>
              <w:rPr>
                <w:b/>
                <w:color w:val="000000" w:themeColor="text1"/>
                <w:sz w:val="20"/>
                <w:szCs w:val="20"/>
              </w:rPr>
            </w:pPr>
            <w:r w:rsidRPr="00993F9B">
              <w:rPr>
                <w:b/>
                <w:color w:val="000000" w:themeColor="text1"/>
                <w:sz w:val="20"/>
                <w:szCs w:val="20"/>
              </w:rPr>
              <w:t>Yes</w:t>
            </w:r>
          </w:p>
        </w:tc>
        <w:tc>
          <w:tcPr>
            <w:tcW w:w="1701" w:type="dxa"/>
          </w:tcPr>
          <w:p w14:paraId="7499C254" w14:textId="719D0C04" w:rsidR="00C4411B" w:rsidRPr="00EF6ACB" w:rsidRDefault="00C4411B" w:rsidP="009A5400">
            <w:pPr>
              <w:rPr>
                <w:color w:val="000000" w:themeColor="text1"/>
                <w:sz w:val="20"/>
                <w:szCs w:val="20"/>
              </w:rPr>
            </w:pPr>
            <w:r w:rsidRPr="00993F9B">
              <w:rPr>
                <w:b/>
                <w:color w:val="000000" w:themeColor="text1"/>
                <w:sz w:val="20"/>
                <w:szCs w:val="20"/>
              </w:rPr>
              <w:t>Yes</w:t>
            </w:r>
            <w:r>
              <w:rPr>
                <w:color w:val="000000" w:themeColor="text1"/>
                <w:sz w:val="20"/>
                <w:szCs w:val="20"/>
              </w:rPr>
              <w:t xml:space="preserve"> but it </w:t>
            </w:r>
            <w:r w:rsidR="009A5400">
              <w:rPr>
                <w:color w:val="000000" w:themeColor="text1"/>
                <w:sz w:val="20"/>
                <w:szCs w:val="20"/>
              </w:rPr>
              <w:t xml:space="preserve">is </w:t>
            </w:r>
            <w:r>
              <w:rPr>
                <w:color w:val="000000" w:themeColor="text1"/>
                <w:sz w:val="20"/>
                <w:szCs w:val="20"/>
              </w:rPr>
              <w:t xml:space="preserve">hard to get people motivated to </w:t>
            </w:r>
            <w:r>
              <w:rPr>
                <w:color w:val="000000" w:themeColor="text1"/>
                <w:sz w:val="20"/>
                <w:szCs w:val="20"/>
              </w:rPr>
              <w:lastRenderedPageBreak/>
              <w:t>speak out and get engaged</w:t>
            </w:r>
          </w:p>
        </w:tc>
        <w:tc>
          <w:tcPr>
            <w:tcW w:w="1842" w:type="dxa"/>
          </w:tcPr>
          <w:p w14:paraId="4B29A25E" w14:textId="1AD72774" w:rsidR="00C4411B" w:rsidRDefault="009A5400" w:rsidP="007735CD">
            <w:pPr>
              <w:rPr>
                <w:color w:val="000000" w:themeColor="text1"/>
                <w:sz w:val="20"/>
                <w:szCs w:val="20"/>
              </w:rPr>
            </w:pPr>
            <w:r w:rsidRPr="00993F9B">
              <w:rPr>
                <w:b/>
                <w:color w:val="000000" w:themeColor="text1"/>
                <w:sz w:val="20"/>
                <w:szCs w:val="20"/>
              </w:rPr>
              <w:lastRenderedPageBreak/>
              <w:t>Yes</w:t>
            </w:r>
            <w:r>
              <w:rPr>
                <w:color w:val="000000" w:themeColor="text1"/>
                <w:sz w:val="20"/>
                <w:szCs w:val="20"/>
              </w:rPr>
              <w:t xml:space="preserve"> but it is hard to get people motivated to speak </w:t>
            </w:r>
            <w:r>
              <w:rPr>
                <w:color w:val="000000" w:themeColor="text1"/>
                <w:sz w:val="20"/>
                <w:szCs w:val="20"/>
              </w:rPr>
              <w:lastRenderedPageBreak/>
              <w:t>out and get engaged</w:t>
            </w:r>
          </w:p>
        </w:tc>
      </w:tr>
      <w:tr w:rsidR="00C4411B" w:rsidRPr="00EF6ACB" w14:paraId="7C4E4663" w14:textId="1746C68B" w:rsidTr="00993F9B">
        <w:tc>
          <w:tcPr>
            <w:tcW w:w="3510" w:type="dxa"/>
          </w:tcPr>
          <w:p w14:paraId="616CA0F3" w14:textId="4E39B9B6" w:rsidR="00C4411B" w:rsidRPr="009B49C4" w:rsidRDefault="00C4411B" w:rsidP="007C0CDD">
            <w:pPr>
              <w:pStyle w:val="ListParagraph"/>
              <w:numPr>
                <w:ilvl w:val="0"/>
                <w:numId w:val="26"/>
              </w:numPr>
              <w:ind w:left="426" w:hanging="426"/>
              <w:rPr>
                <w:color w:val="000000" w:themeColor="text1"/>
                <w:sz w:val="20"/>
                <w:szCs w:val="20"/>
              </w:rPr>
            </w:pPr>
            <w:r w:rsidRPr="009B49C4">
              <w:rPr>
                <w:sz w:val="20"/>
                <w:szCs w:val="20"/>
              </w:rPr>
              <w:lastRenderedPageBreak/>
              <w:t>Provide ‘ground truth’ to government about situations which it would not otherwise be aware</w:t>
            </w:r>
          </w:p>
        </w:tc>
        <w:tc>
          <w:tcPr>
            <w:tcW w:w="2268" w:type="dxa"/>
            <w:vMerge/>
          </w:tcPr>
          <w:p w14:paraId="1F676D7C" w14:textId="3843E7E9" w:rsidR="00C4411B" w:rsidRPr="00EF6ACB" w:rsidRDefault="00C4411B" w:rsidP="007735CD">
            <w:pPr>
              <w:rPr>
                <w:color w:val="000000" w:themeColor="text1"/>
                <w:sz w:val="20"/>
                <w:szCs w:val="20"/>
              </w:rPr>
            </w:pPr>
          </w:p>
        </w:tc>
        <w:tc>
          <w:tcPr>
            <w:tcW w:w="1560" w:type="dxa"/>
          </w:tcPr>
          <w:p w14:paraId="5DDFF467" w14:textId="130C696C" w:rsidR="00C4411B" w:rsidRPr="00EF6ACB" w:rsidRDefault="00993F9B" w:rsidP="007735CD">
            <w:pPr>
              <w:rPr>
                <w:color w:val="000000" w:themeColor="text1"/>
                <w:sz w:val="20"/>
                <w:szCs w:val="20"/>
              </w:rPr>
            </w:pPr>
            <w:r w:rsidRPr="00993F9B">
              <w:rPr>
                <w:b/>
                <w:color w:val="000000" w:themeColor="text1"/>
                <w:sz w:val="20"/>
                <w:szCs w:val="20"/>
              </w:rPr>
              <w:t>Yes</w:t>
            </w:r>
            <w:r>
              <w:rPr>
                <w:color w:val="000000" w:themeColor="text1"/>
                <w:sz w:val="20"/>
                <w:szCs w:val="20"/>
              </w:rPr>
              <w:t xml:space="preserve"> </w:t>
            </w:r>
          </w:p>
        </w:tc>
        <w:tc>
          <w:tcPr>
            <w:tcW w:w="1559" w:type="dxa"/>
            <w:vMerge/>
          </w:tcPr>
          <w:p w14:paraId="73B002C2" w14:textId="77777777" w:rsidR="00C4411B" w:rsidRPr="00EF6ACB" w:rsidRDefault="00C4411B" w:rsidP="007735CD">
            <w:pPr>
              <w:rPr>
                <w:color w:val="000000" w:themeColor="text1"/>
                <w:sz w:val="20"/>
                <w:szCs w:val="20"/>
              </w:rPr>
            </w:pPr>
          </w:p>
        </w:tc>
        <w:tc>
          <w:tcPr>
            <w:tcW w:w="1843" w:type="dxa"/>
          </w:tcPr>
          <w:p w14:paraId="4266C988" w14:textId="1E7900A6" w:rsidR="00C4411B" w:rsidRPr="00EF6ACB" w:rsidRDefault="00993F9B" w:rsidP="007735CD">
            <w:pPr>
              <w:rPr>
                <w:color w:val="000000" w:themeColor="text1"/>
                <w:sz w:val="20"/>
                <w:szCs w:val="20"/>
              </w:rPr>
            </w:pPr>
            <w:r w:rsidRPr="00993F9B">
              <w:rPr>
                <w:b/>
                <w:color w:val="000000" w:themeColor="text1"/>
                <w:sz w:val="20"/>
                <w:szCs w:val="20"/>
              </w:rPr>
              <w:t>Yes</w:t>
            </w:r>
            <w:r>
              <w:rPr>
                <w:color w:val="000000" w:themeColor="text1"/>
                <w:sz w:val="20"/>
                <w:szCs w:val="20"/>
              </w:rPr>
              <w:t xml:space="preserve"> s</w:t>
            </w:r>
            <w:r w:rsidR="00C4411B" w:rsidRPr="00EF6ACB">
              <w:rPr>
                <w:color w:val="000000" w:themeColor="text1"/>
                <w:sz w:val="20"/>
                <w:szCs w:val="20"/>
              </w:rPr>
              <w:t>ome do this well others are more interested in their own survival</w:t>
            </w:r>
          </w:p>
        </w:tc>
        <w:tc>
          <w:tcPr>
            <w:tcW w:w="1701" w:type="dxa"/>
          </w:tcPr>
          <w:p w14:paraId="0AB48252" w14:textId="339D25A5" w:rsidR="00C4411B" w:rsidRPr="00EF6ACB" w:rsidRDefault="00993F9B" w:rsidP="00AD6696">
            <w:pPr>
              <w:rPr>
                <w:color w:val="000000" w:themeColor="text1"/>
                <w:sz w:val="20"/>
                <w:szCs w:val="20"/>
              </w:rPr>
            </w:pPr>
            <w:r w:rsidRPr="00993F9B">
              <w:rPr>
                <w:b/>
                <w:color w:val="000000" w:themeColor="text1"/>
                <w:sz w:val="20"/>
                <w:szCs w:val="20"/>
              </w:rPr>
              <w:t xml:space="preserve">Yes </w:t>
            </w:r>
            <w:r w:rsidR="00C4411B">
              <w:rPr>
                <w:color w:val="000000" w:themeColor="text1"/>
                <w:sz w:val="20"/>
                <w:szCs w:val="20"/>
              </w:rPr>
              <w:t>this is essential</w:t>
            </w:r>
          </w:p>
        </w:tc>
        <w:tc>
          <w:tcPr>
            <w:tcW w:w="1842" w:type="dxa"/>
          </w:tcPr>
          <w:p w14:paraId="113B8689" w14:textId="18BFA57B" w:rsidR="00C4411B" w:rsidRDefault="009A5400" w:rsidP="00AD6696">
            <w:pPr>
              <w:rPr>
                <w:color w:val="000000" w:themeColor="text1"/>
                <w:sz w:val="20"/>
                <w:szCs w:val="20"/>
              </w:rPr>
            </w:pPr>
            <w:r w:rsidRPr="00993F9B">
              <w:rPr>
                <w:b/>
                <w:color w:val="000000" w:themeColor="text1"/>
                <w:sz w:val="20"/>
                <w:szCs w:val="20"/>
              </w:rPr>
              <w:t xml:space="preserve">Yes </w:t>
            </w:r>
            <w:r>
              <w:rPr>
                <w:color w:val="000000" w:themeColor="text1"/>
                <w:sz w:val="20"/>
                <w:szCs w:val="20"/>
              </w:rPr>
              <w:t>this is essential</w:t>
            </w:r>
          </w:p>
        </w:tc>
      </w:tr>
      <w:tr w:rsidR="00C4411B" w:rsidRPr="00EF6ACB" w14:paraId="3F8DF6BA" w14:textId="33A4E68D" w:rsidTr="00993F9B">
        <w:tc>
          <w:tcPr>
            <w:tcW w:w="3510" w:type="dxa"/>
          </w:tcPr>
          <w:p w14:paraId="7332DA51" w14:textId="2E962253" w:rsidR="00C4411B" w:rsidRPr="009B49C4" w:rsidRDefault="00C4411B" w:rsidP="007C0CDD">
            <w:pPr>
              <w:pStyle w:val="ListParagraph"/>
              <w:numPr>
                <w:ilvl w:val="0"/>
                <w:numId w:val="26"/>
              </w:numPr>
              <w:ind w:left="426" w:hanging="426"/>
              <w:rPr>
                <w:color w:val="000000" w:themeColor="text1"/>
                <w:sz w:val="20"/>
                <w:szCs w:val="20"/>
              </w:rPr>
            </w:pPr>
            <w:r w:rsidRPr="009B49C4">
              <w:rPr>
                <w:sz w:val="20"/>
                <w:szCs w:val="20"/>
              </w:rPr>
              <w:t>Provide a channel of communication from government to people and vice versa, including the achievement of buy-in or acquiescence in complex and difficult decisions</w:t>
            </w:r>
          </w:p>
        </w:tc>
        <w:tc>
          <w:tcPr>
            <w:tcW w:w="2268" w:type="dxa"/>
          </w:tcPr>
          <w:p w14:paraId="00EE4F6A" w14:textId="1B12B757" w:rsidR="00C4411B" w:rsidRPr="00EF6ACB" w:rsidRDefault="00C4411B" w:rsidP="00B222FF">
            <w:pPr>
              <w:rPr>
                <w:color w:val="000000" w:themeColor="text1"/>
                <w:sz w:val="20"/>
                <w:szCs w:val="20"/>
              </w:rPr>
            </w:pPr>
            <w:r w:rsidRPr="00EF6ACB">
              <w:rPr>
                <w:color w:val="000000" w:themeColor="text1"/>
                <w:sz w:val="20"/>
                <w:szCs w:val="20"/>
              </w:rPr>
              <w:t>This was seen more as the role of elected representatives</w:t>
            </w:r>
          </w:p>
        </w:tc>
        <w:tc>
          <w:tcPr>
            <w:tcW w:w="1560" w:type="dxa"/>
          </w:tcPr>
          <w:p w14:paraId="51693DE5" w14:textId="2B6A3AB4" w:rsidR="00C4411B" w:rsidRPr="00EF6ACB" w:rsidRDefault="00C4411B" w:rsidP="007735CD">
            <w:pPr>
              <w:rPr>
                <w:color w:val="000000" w:themeColor="text1"/>
                <w:sz w:val="20"/>
                <w:szCs w:val="20"/>
              </w:rPr>
            </w:pPr>
            <w:r>
              <w:rPr>
                <w:color w:val="000000" w:themeColor="text1"/>
                <w:sz w:val="20"/>
                <w:szCs w:val="20"/>
              </w:rPr>
              <w:t>This was not explored with/by this group</w:t>
            </w:r>
          </w:p>
        </w:tc>
        <w:tc>
          <w:tcPr>
            <w:tcW w:w="1559" w:type="dxa"/>
          </w:tcPr>
          <w:p w14:paraId="4D78505C" w14:textId="307496AC" w:rsidR="00C4411B" w:rsidRPr="00EF6ACB" w:rsidRDefault="00C4411B" w:rsidP="00993F9B">
            <w:pPr>
              <w:rPr>
                <w:color w:val="000000" w:themeColor="text1"/>
                <w:sz w:val="20"/>
                <w:szCs w:val="20"/>
              </w:rPr>
            </w:pPr>
            <w:r w:rsidRPr="00EF6ACB">
              <w:rPr>
                <w:color w:val="000000" w:themeColor="text1"/>
                <w:sz w:val="20"/>
                <w:szCs w:val="20"/>
              </w:rPr>
              <w:t xml:space="preserve">No </w:t>
            </w:r>
            <w:r w:rsidR="00993F9B">
              <w:rPr>
                <w:color w:val="000000" w:themeColor="text1"/>
                <w:sz w:val="20"/>
                <w:szCs w:val="20"/>
              </w:rPr>
              <w:t xml:space="preserve">the </w:t>
            </w:r>
            <w:r w:rsidRPr="00EF6ACB">
              <w:rPr>
                <w:color w:val="000000" w:themeColor="text1"/>
                <w:sz w:val="20"/>
                <w:szCs w:val="20"/>
              </w:rPr>
              <w:t>sector should not become a voice for government- they need to maintain their independence</w:t>
            </w:r>
          </w:p>
        </w:tc>
        <w:tc>
          <w:tcPr>
            <w:tcW w:w="1843" w:type="dxa"/>
          </w:tcPr>
          <w:p w14:paraId="1BAFBA62" w14:textId="073C4846" w:rsidR="00C4411B" w:rsidRPr="00EF6ACB" w:rsidRDefault="00993F9B" w:rsidP="007735CD">
            <w:pPr>
              <w:rPr>
                <w:color w:val="000000" w:themeColor="text1"/>
                <w:sz w:val="20"/>
                <w:szCs w:val="20"/>
              </w:rPr>
            </w:pPr>
            <w:r w:rsidRPr="00993F9B">
              <w:rPr>
                <w:b/>
                <w:color w:val="000000" w:themeColor="text1"/>
                <w:sz w:val="20"/>
                <w:szCs w:val="20"/>
              </w:rPr>
              <w:t>N</w:t>
            </w:r>
            <w:r w:rsidR="00C4411B" w:rsidRPr="00993F9B">
              <w:rPr>
                <w:b/>
                <w:color w:val="000000" w:themeColor="text1"/>
                <w:sz w:val="20"/>
                <w:szCs w:val="20"/>
              </w:rPr>
              <w:t>ot clear</w:t>
            </w:r>
            <w:r w:rsidR="00C4411B" w:rsidRPr="00EF6ACB">
              <w:rPr>
                <w:color w:val="000000" w:themeColor="text1"/>
                <w:sz w:val="20"/>
                <w:szCs w:val="20"/>
              </w:rPr>
              <w:t xml:space="preserve"> that this is their role </w:t>
            </w:r>
          </w:p>
        </w:tc>
        <w:tc>
          <w:tcPr>
            <w:tcW w:w="1701" w:type="dxa"/>
          </w:tcPr>
          <w:p w14:paraId="53FC8B66" w14:textId="06C2AFB3" w:rsidR="00C4411B" w:rsidRPr="00EF6ACB" w:rsidRDefault="00C4411B" w:rsidP="007735CD">
            <w:pPr>
              <w:rPr>
                <w:color w:val="000000" w:themeColor="text1"/>
                <w:sz w:val="20"/>
                <w:szCs w:val="20"/>
              </w:rPr>
            </w:pPr>
            <w:r>
              <w:rPr>
                <w:color w:val="000000" w:themeColor="text1"/>
                <w:sz w:val="20"/>
                <w:szCs w:val="20"/>
              </w:rPr>
              <w:t>This was not explored with/by this group</w:t>
            </w:r>
          </w:p>
        </w:tc>
        <w:tc>
          <w:tcPr>
            <w:tcW w:w="1842" w:type="dxa"/>
          </w:tcPr>
          <w:p w14:paraId="582D6C37" w14:textId="7E88EDB6" w:rsidR="00C4411B" w:rsidRDefault="009A5400" w:rsidP="007735CD">
            <w:pPr>
              <w:rPr>
                <w:color w:val="000000" w:themeColor="text1"/>
                <w:sz w:val="20"/>
                <w:szCs w:val="20"/>
              </w:rPr>
            </w:pPr>
            <w:r>
              <w:rPr>
                <w:color w:val="000000" w:themeColor="text1"/>
                <w:sz w:val="20"/>
                <w:szCs w:val="20"/>
              </w:rPr>
              <w:t>This is not necessarily the role of the sector. The sector needs to maintain its independence</w:t>
            </w:r>
          </w:p>
        </w:tc>
      </w:tr>
      <w:tr w:rsidR="00C4411B" w:rsidRPr="00EF6ACB" w14:paraId="3E2790E3" w14:textId="619D4E46" w:rsidTr="00993F9B">
        <w:tc>
          <w:tcPr>
            <w:tcW w:w="3510" w:type="dxa"/>
          </w:tcPr>
          <w:p w14:paraId="6FEB6990" w14:textId="2A6D1D17" w:rsidR="00C4411B" w:rsidRPr="009B49C4" w:rsidRDefault="00C4411B" w:rsidP="007C0CDD">
            <w:pPr>
              <w:pStyle w:val="ListParagraph"/>
              <w:numPr>
                <w:ilvl w:val="0"/>
                <w:numId w:val="26"/>
              </w:numPr>
              <w:autoSpaceDE w:val="0"/>
              <w:autoSpaceDN w:val="0"/>
              <w:adjustRightInd w:val="0"/>
              <w:ind w:left="426" w:hanging="426"/>
              <w:rPr>
                <w:sz w:val="20"/>
                <w:szCs w:val="20"/>
              </w:rPr>
            </w:pPr>
            <w:r w:rsidRPr="009B49C4">
              <w:rPr>
                <w:sz w:val="20"/>
                <w:szCs w:val="20"/>
              </w:rPr>
              <w:t>Play a role in in the monitoring, implementation and enforcement of government decisions (laws, policies, procedures, protocols, strategies)</w:t>
            </w:r>
          </w:p>
        </w:tc>
        <w:tc>
          <w:tcPr>
            <w:tcW w:w="2268" w:type="dxa"/>
          </w:tcPr>
          <w:p w14:paraId="18A09CE5" w14:textId="7FE73ED4" w:rsidR="00C4411B" w:rsidRPr="00EF6ACB" w:rsidRDefault="00C4411B" w:rsidP="00B222FF">
            <w:pPr>
              <w:rPr>
                <w:color w:val="000000" w:themeColor="text1"/>
                <w:sz w:val="20"/>
                <w:szCs w:val="20"/>
              </w:rPr>
            </w:pPr>
            <w:r>
              <w:rPr>
                <w:color w:val="000000" w:themeColor="text1"/>
                <w:sz w:val="20"/>
                <w:szCs w:val="20"/>
              </w:rPr>
              <w:t>This was not explored with/by this group</w:t>
            </w:r>
          </w:p>
          <w:p w14:paraId="353DB3AC" w14:textId="42FB1E95" w:rsidR="00C4411B" w:rsidRPr="00EF6ACB" w:rsidRDefault="00C4411B" w:rsidP="00B222FF">
            <w:pPr>
              <w:rPr>
                <w:color w:val="000000" w:themeColor="text1"/>
                <w:sz w:val="20"/>
                <w:szCs w:val="20"/>
              </w:rPr>
            </w:pPr>
          </w:p>
        </w:tc>
        <w:tc>
          <w:tcPr>
            <w:tcW w:w="1560" w:type="dxa"/>
          </w:tcPr>
          <w:p w14:paraId="1B2298CA" w14:textId="49B1A48A" w:rsidR="00C4411B" w:rsidRPr="00EF6ACB" w:rsidRDefault="00C4411B" w:rsidP="007735CD">
            <w:pPr>
              <w:rPr>
                <w:color w:val="000000" w:themeColor="text1"/>
                <w:sz w:val="20"/>
                <w:szCs w:val="20"/>
              </w:rPr>
            </w:pPr>
            <w:r>
              <w:rPr>
                <w:color w:val="000000" w:themeColor="text1"/>
                <w:sz w:val="20"/>
                <w:szCs w:val="20"/>
              </w:rPr>
              <w:t>This was not explored with/by this group</w:t>
            </w:r>
          </w:p>
        </w:tc>
        <w:tc>
          <w:tcPr>
            <w:tcW w:w="1559" w:type="dxa"/>
          </w:tcPr>
          <w:p w14:paraId="194C45EB" w14:textId="05D31183" w:rsidR="00C4411B" w:rsidRPr="00EF6ACB" w:rsidRDefault="00C4411B" w:rsidP="007735CD">
            <w:pPr>
              <w:rPr>
                <w:color w:val="000000" w:themeColor="text1"/>
                <w:sz w:val="20"/>
                <w:szCs w:val="20"/>
              </w:rPr>
            </w:pPr>
            <w:r>
              <w:rPr>
                <w:color w:val="000000" w:themeColor="text1"/>
                <w:sz w:val="20"/>
                <w:szCs w:val="20"/>
              </w:rPr>
              <w:t>This was not explored with/by this group</w:t>
            </w:r>
            <w:r w:rsidRPr="00EF6ACB">
              <w:rPr>
                <w:color w:val="000000" w:themeColor="text1"/>
                <w:sz w:val="20"/>
                <w:szCs w:val="20"/>
              </w:rPr>
              <w:t>?</w:t>
            </w:r>
          </w:p>
        </w:tc>
        <w:tc>
          <w:tcPr>
            <w:tcW w:w="1843" w:type="dxa"/>
          </w:tcPr>
          <w:p w14:paraId="1E22F541" w14:textId="33731E84" w:rsidR="00C4411B" w:rsidRPr="00EF6ACB" w:rsidRDefault="00C4411B" w:rsidP="00EF6ACB">
            <w:pPr>
              <w:rPr>
                <w:color w:val="000000" w:themeColor="text1"/>
                <w:sz w:val="20"/>
                <w:szCs w:val="20"/>
              </w:rPr>
            </w:pPr>
            <w:r w:rsidRPr="00EF6ACB">
              <w:rPr>
                <w:color w:val="000000" w:themeColor="text1"/>
                <w:sz w:val="20"/>
                <w:szCs w:val="20"/>
              </w:rPr>
              <w:t>Could do this…. but have a lot of issues  to address before they could be taken seriously in this role</w:t>
            </w:r>
          </w:p>
        </w:tc>
        <w:tc>
          <w:tcPr>
            <w:tcW w:w="1701" w:type="dxa"/>
          </w:tcPr>
          <w:p w14:paraId="3AAEFC1D" w14:textId="62C14F3B" w:rsidR="00C4411B" w:rsidRPr="00EF6ACB" w:rsidRDefault="00993F9B" w:rsidP="00993F9B">
            <w:pPr>
              <w:rPr>
                <w:color w:val="000000" w:themeColor="text1"/>
                <w:sz w:val="20"/>
                <w:szCs w:val="20"/>
              </w:rPr>
            </w:pPr>
            <w:r w:rsidRPr="009A5400">
              <w:rPr>
                <w:b/>
                <w:color w:val="000000" w:themeColor="text1"/>
                <w:sz w:val="20"/>
                <w:szCs w:val="20"/>
              </w:rPr>
              <w:t xml:space="preserve">Yes </w:t>
            </w:r>
            <w:r>
              <w:rPr>
                <w:color w:val="000000" w:themeColor="text1"/>
                <w:sz w:val="20"/>
                <w:szCs w:val="20"/>
              </w:rPr>
              <w:t xml:space="preserve">but needs </w:t>
            </w:r>
            <w:r w:rsidR="00C4411B">
              <w:rPr>
                <w:color w:val="000000" w:themeColor="text1"/>
                <w:sz w:val="20"/>
                <w:szCs w:val="20"/>
              </w:rPr>
              <w:t>to be resourced to do this</w:t>
            </w:r>
            <w:r w:rsidR="009A5400">
              <w:rPr>
                <w:color w:val="000000" w:themeColor="text1"/>
                <w:sz w:val="20"/>
                <w:szCs w:val="20"/>
              </w:rPr>
              <w:t>.</w:t>
            </w:r>
          </w:p>
        </w:tc>
        <w:tc>
          <w:tcPr>
            <w:tcW w:w="1842" w:type="dxa"/>
          </w:tcPr>
          <w:p w14:paraId="6AD0BA87" w14:textId="26B1F3A6" w:rsidR="00C4411B" w:rsidRPr="00EF6ACB" w:rsidRDefault="009A5400" w:rsidP="00186E74">
            <w:pPr>
              <w:rPr>
                <w:color w:val="000000" w:themeColor="text1"/>
                <w:sz w:val="20"/>
                <w:szCs w:val="20"/>
              </w:rPr>
            </w:pPr>
            <w:r w:rsidRPr="00474EB5">
              <w:rPr>
                <w:b/>
                <w:color w:val="000000" w:themeColor="text1"/>
                <w:sz w:val="20"/>
                <w:szCs w:val="20"/>
              </w:rPr>
              <w:t xml:space="preserve">Yes </w:t>
            </w:r>
            <w:r>
              <w:rPr>
                <w:color w:val="000000" w:themeColor="text1"/>
                <w:sz w:val="20"/>
                <w:szCs w:val="20"/>
              </w:rPr>
              <w:t>but needs to be resourced to do this.</w:t>
            </w:r>
          </w:p>
        </w:tc>
      </w:tr>
    </w:tbl>
    <w:p w14:paraId="58D7B131" w14:textId="77777777" w:rsidR="00A96DCD" w:rsidRDefault="00A96DCD" w:rsidP="007735CD">
      <w:pPr>
        <w:spacing w:line="240" w:lineRule="auto"/>
        <w:rPr>
          <w:color w:val="000000" w:themeColor="text1"/>
        </w:rPr>
      </w:pPr>
    </w:p>
    <w:p w14:paraId="3C9DC650" w14:textId="77777777" w:rsidR="00A96DCD" w:rsidRDefault="00A96DCD" w:rsidP="007735CD">
      <w:pPr>
        <w:spacing w:line="240" w:lineRule="auto"/>
        <w:rPr>
          <w:color w:val="000000" w:themeColor="text1"/>
        </w:rPr>
        <w:sectPr w:rsidR="00A96DCD" w:rsidSect="00A96DCD">
          <w:pgSz w:w="16838" w:h="11906" w:orient="landscape"/>
          <w:pgMar w:top="1440" w:right="1440" w:bottom="1440" w:left="1440" w:header="708" w:footer="708" w:gutter="0"/>
          <w:cols w:space="708"/>
          <w:docGrid w:linePitch="360"/>
        </w:sectPr>
      </w:pPr>
    </w:p>
    <w:p w14:paraId="6FDBDE48" w14:textId="77777777" w:rsidR="008D6ED4" w:rsidRPr="008D6ED4" w:rsidRDefault="007735CD" w:rsidP="00ED47A2">
      <w:pPr>
        <w:pStyle w:val="Heading2"/>
      </w:pPr>
      <w:bookmarkStart w:id="61" w:name="_Toc394492965"/>
      <w:bookmarkStart w:id="62" w:name="_Toc394493496"/>
      <w:r w:rsidRPr="007735CD">
        <w:lastRenderedPageBreak/>
        <w:t>4.3</w:t>
      </w:r>
      <w:r w:rsidRPr="007735CD">
        <w:tab/>
      </w:r>
      <w:r w:rsidR="008D6ED4" w:rsidRPr="008D6ED4">
        <w:t>How effective and impactful is this work?</w:t>
      </w:r>
      <w:bookmarkEnd w:id="61"/>
      <w:bookmarkEnd w:id="62"/>
    </w:p>
    <w:p w14:paraId="60EB7441" w14:textId="4BACF1FA" w:rsidR="007735CD" w:rsidRPr="007735CD" w:rsidRDefault="001D2884" w:rsidP="007735CD">
      <w:pPr>
        <w:spacing w:line="240" w:lineRule="auto"/>
      </w:pPr>
      <w:r>
        <w:t>V</w:t>
      </w:r>
      <w:r w:rsidR="007735CD" w:rsidRPr="007735CD">
        <w:t>iews on the effectiveness and impact of the community and voluntary sector social justice</w:t>
      </w:r>
      <w:r w:rsidR="00ED47A2">
        <w:t xml:space="preserve"> </w:t>
      </w:r>
      <w:r w:rsidR="007735CD" w:rsidRPr="007735CD">
        <w:t xml:space="preserve">advocacy work varied.  </w:t>
      </w:r>
    </w:p>
    <w:p w14:paraId="43D7C472" w14:textId="098D3E9E" w:rsidR="007735CD" w:rsidRPr="007735CD" w:rsidRDefault="00A35C41" w:rsidP="007C0CDD">
      <w:pPr>
        <w:numPr>
          <w:ilvl w:val="0"/>
          <w:numId w:val="10"/>
        </w:numPr>
        <w:spacing w:line="240" w:lineRule="auto"/>
        <w:ind w:left="714" w:hanging="357"/>
        <w:contextualSpacing/>
        <w:rPr>
          <w:lang w:val="en-US"/>
        </w:rPr>
      </w:pPr>
      <w:r>
        <w:rPr>
          <w:lang w:val="en-US"/>
        </w:rPr>
        <w:t xml:space="preserve">The majority </w:t>
      </w:r>
      <w:r w:rsidR="007735CD" w:rsidRPr="007735CD">
        <w:rPr>
          <w:lang w:val="en-US"/>
        </w:rPr>
        <w:t xml:space="preserve">of </w:t>
      </w:r>
      <w:r w:rsidR="007735CD" w:rsidRPr="007735CD">
        <w:rPr>
          <w:i/>
          <w:lang w:val="en-US"/>
        </w:rPr>
        <w:t>community and voluntary sector organisations</w:t>
      </w:r>
      <w:r w:rsidR="007735CD" w:rsidRPr="007735CD">
        <w:rPr>
          <w:lang w:val="en-US"/>
        </w:rPr>
        <w:t xml:space="preserve"> </w:t>
      </w:r>
      <w:r w:rsidR="001D2884">
        <w:rPr>
          <w:lang w:val="en-US"/>
        </w:rPr>
        <w:t>(</w:t>
      </w:r>
      <w:r w:rsidR="001D2884" w:rsidRPr="007735CD">
        <w:rPr>
          <w:lang w:val="en-US"/>
        </w:rPr>
        <w:t>69%</w:t>
      </w:r>
      <w:r w:rsidR="001D2884">
        <w:rPr>
          <w:lang w:val="en-US"/>
        </w:rPr>
        <w:t>)</w:t>
      </w:r>
      <w:r w:rsidR="001D2884" w:rsidRPr="007735CD">
        <w:rPr>
          <w:lang w:val="en-US"/>
        </w:rPr>
        <w:t xml:space="preserve"> </w:t>
      </w:r>
      <w:r w:rsidR="007735CD" w:rsidRPr="007735CD">
        <w:rPr>
          <w:lang w:val="en-US"/>
        </w:rPr>
        <w:t>rated their social justice advocacy as either effective or very effective</w:t>
      </w:r>
      <w:r w:rsidR="00AD6487">
        <w:rPr>
          <w:lang w:val="en-US"/>
        </w:rPr>
        <w:t xml:space="preserve"> (Mapping Study, 2012)</w:t>
      </w:r>
      <w:r w:rsidR="007735CD" w:rsidRPr="007735CD">
        <w:rPr>
          <w:lang w:val="en-US"/>
        </w:rPr>
        <w:t xml:space="preserve">, while the majority of organisations surveyed in the initial project report awarded themselves a score of three out of five, for their effectiveness (where five was very effective and one was ineffective).  </w:t>
      </w:r>
    </w:p>
    <w:p w14:paraId="4798134B" w14:textId="77777777" w:rsidR="007735CD" w:rsidRPr="007735CD" w:rsidRDefault="007735CD" w:rsidP="007735CD">
      <w:pPr>
        <w:spacing w:line="240" w:lineRule="auto"/>
        <w:ind w:left="714"/>
        <w:contextualSpacing/>
        <w:rPr>
          <w:lang w:val="en-US"/>
        </w:rPr>
      </w:pPr>
    </w:p>
    <w:p w14:paraId="302901D5" w14:textId="77777777" w:rsidR="007735CD" w:rsidRPr="007735CD" w:rsidRDefault="007735CD" w:rsidP="007C0CDD">
      <w:pPr>
        <w:numPr>
          <w:ilvl w:val="0"/>
          <w:numId w:val="10"/>
        </w:numPr>
        <w:spacing w:line="240" w:lineRule="auto"/>
        <w:ind w:left="714" w:hanging="357"/>
        <w:contextualSpacing/>
        <w:rPr>
          <w:lang w:val="en-US"/>
        </w:rPr>
      </w:pPr>
      <w:r w:rsidRPr="007735CD">
        <w:rPr>
          <w:lang w:val="en-US"/>
        </w:rPr>
        <w:t>The case studies (developed as part of the mapping study) highlighted the importance of clear narrow focus and sophisticated advocacy strategy as well as a number of other issues as predictor</w:t>
      </w:r>
      <w:r w:rsidR="003E705F">
        <w:rPr>
          <w:lang w:val="en-US"/>
        </w:rPr>
        <w:t>s of effectiveness see Table 4.2</w:t>
      </w:r>
      <w:r w:rsidRPr="007735CD">
        <w:rPr>
          <w:lang w:val="en-US"/>
        </w:rPr>
        <w:t xml:space="preserve"> for details.</w:t>
      </w:r>
    </w:p>
    <w:p w14:paraId="73C4F8AD" w14:textId="77777777" w:rsidR="007735CD" w:rsidRPr="007735CD" w:rsidRDefault="007735CD" w:rsidP="007735CD">
      <w:pPr>
        <w:spacing w:line="240" w:lineRule="auto"/>
      </w:pPr>
    </w:p>
    <w:tbl>
      <w:tblPr>
        <w:tblStyle w:val="TableGrid2"/>
        <w:tblW w:w="0" w:type="auto"/>
        <w:tblLook w:val="04A0" w:firstRow="1" w:lastRow="0" w:firstColumn="1" w:lastColumn="0" w:noHBand="0" w:noVBand="1"/>
      </w:tblPr>
      <w:tblGrid>
        <w:gridCol w:w="9180"/>
      </w:tblGrid>
      <w:tr w:rsidR="007735CD" w:rsidRPr="007735CD" w14:paraId="7ADA286F" w14:textId="77777777" w:rsidTr="007735CD">
        <w:tc>
          <w:tcPr>
            <w:tcW w:w="9180" w:type="dxa"/>
            <w:shd w:val="clear" w:color="auto" w:fill="CCC0D9" w:themeFill="accent4" w:themeFillTint="66"/>
          </w:tcPr>
          <w:p w14:paraId="66850C2B" w14:textId="61FE3270" w:rsidR="007735CD" w:rsidRPr="007735CD" w:rsidRDefault="003E705F" w:rsidP="00ED47A2">
            <w:pPr>
              <w:pStyle w:val="Heading4"/>
              <w:outlineLvl w:val="3"/>
            </w:pPr>
            <w:r>
              <w:t>Table 4.2</w:t>
            </w:r>
            <w:r w:rsidR="007735CD" w:rsidRPr="007735CD">
              <w:t xml:space="preserve"> </w:t>
            </w:r>
            <w:r w:rsidR="0056120D">
              <w:t xml:space="preserve">- </w:t>
            </w:r>
            <w:r w:rsidR="007735CD" w:rsidRPr="007735CD">
              <w:t>Factors that contribute to effective social justice advocacy work</w:t>
            </w:r>
          </w:p>
          <w:p w14:paraId="1930A943" w14:textId="77777777" w:rsidR="007735CD" w:rsidRPr="007735CD" w:rsidRDefault="007735CD" w:rsidP="007735CD">
            <w:pPr>
              <w:rPr>
                <w:b/>
                <w:sz w:val="22"/>
                <w:szCs w:val="22"/>
              </w:rPr>
            </w:pPr>
          </w:p>
        </w:tc>
      </w:tr>
      <w:tr w:rsidR="007735CD" w:rsidRPr="007735CD" w14:paraId="345E35D9" w14:textId="77777777" w:rsidTr="007735CD">
        <w:tc>
          <w:tcPr>
            <w:tcW w:w="9180" w:type="dxa"/>
          </w:tcPr>
          <w:p w14:paraId="1E4E13E7" w14:textId="692E35AD" w:rsidR="007735CD" w:rsidRPr="007735CD" w:rsidRDefault="007735CD" w:rsidP="007C0CDD">
            <w:pPr>
              <w:numPr>
                <w:ilvl w:val="0"/>
                <w:numId w:val="11"/>
              </w:numPr>
              <w:contextualSpacing/>
              <w:rPr>
                <w:sz w:val="22"/>
                <w:szCs w:val="22"/>
                <w:lang w:val="en-GB"/>
              </w:rPr>
            </w:pPr>
            <w:r w:rsidRPr="007735CD">
              <w:rPr>
                <w:sz w:val="22"/>
                <w:szCs w:val="22"/>
              </w:rPr>
              <w:t>Have a well thought out advocacy campaign and strategy with clear intermediate goals within a longer term vision with agreed outcomes, underpinned by values of equality, human rights and community development</w:t>
            </w:r>
            <w:r w:rsidR="00AD6487">
              <w:rPr>
                <w:sz w:val="22"/>
                <w:szCs w:val="22"/>
              </w:rPr>
              <w:t>.</w:t>
            </w:r>
          </w:p>
        </w:tc>
      </w:tr>
      <w:tr w:rsidR="007735CD" w:rsidRPr="007735CD" w14:paraId="6A7254E4" w14:textId="77777777" w:rsidTr="007735CD">
        <w:tc>
          <w:tcPr>
            <w:tcW w:w="9180" w:type="dxa"/>
          </w:tcPr>
          <w:p w14:paraId="1D4490C3" w14:textId="71411777" w:rsidR="007735CD" w:rsidRPr="007735CD" w:rsidRDefault="007735CD" w:rsidP="007C0CDD">
            <w:pPr>
              <w:numPr>
                <w:ilvl w:val="0"/>
                <w:numId w:val="11"/>
              </w:numPr>
              <w:contextualSpacing/>
              <w:rPr>
                <w:sz w:val="22"/>
                <w:szCs w:val="22"/>
                <w:lang w:val="en-GB"/>
              </w:rPr>
            </w:pPr>
            <w:r w:rsidRPr="007735CD">
              <w:rPr>
                <w:sz w:val="22"/>
                <w:szCs w:val="22"/>
              </w:rPr>
              <w:t>Keep the message simple but be ambitious and appeal to human interest and concern</w:t>
            </w:r>
            <w:r w:rsidR="00AD6487">
              <w:rPr>
                <w:sz w:val="22"/>
                <w:szCs w:val="22"/>
              </w:rPr>
              <w:t>.</w:t>
            </w:r>
          </w:p>
        </w:tc>
      </w:tr>
      <w:tr w:rsidR="007735CD" w:rsidRPr="007735CD" w14:paraId="1FB4619C" w14:textId="77777777" w:rsidTr="007735CD">
        <w:tc>
          <w:tcPr>
            <w:tcW w:w="9180" w:type="dxa"/>
          </w:tcPr>
          <w:p w14:paraId="3F2F96AE" w14:textId="0D076F2F" w:rsidR="007735CD" w:rsidRPr="007735CD" w:rsidRDefault="007735CD" w:rsidP="007C0CDD">
            <w:pPr>
              <w:numPr>
                <w:ilvl w:val="0"/>
                <w:numId w:val="11"/>
              </w:numPr>
              <w:contextualSpacing/>
              <w:rPr>
                <w:sz w:val="22"/>
                <w:szCs w:val="22"/>
                <w:lang w:val="en-GB"/>
              </w:rPr>
            </w:pPr>
            <w:r w:rsidRPr="007735CD">
              <w:rPr>
                <w:sz w:val="22"/>
                <w:szCs w:val="22"/>
              </w:rPr>
              <w:t>Empower those affected to be their own advocates through training and professional support</w:t>
            </w:r>
            <w:r w:rsidR="00AD6487">
              <w:rPr>
                <w:sz w:val="22"/>
                <w:szCs w:val="22"/>
              </w:rPr>
              <w:t>.</w:t>
            </w:r>
          </w:p>
        </w:tc>
      </w:tr>
      <w:tr w:rsidR="007735CD" w:rsidRPr="007735CD" w14:paraId="469014DB" w14:textId="77777777" w:rsidTr="007735CD">
        <w:tc>
          <w:tcPr>
            <w:tcW w:w="9180" w:type="dxa"/>
          </w:tcPr>
          <w:p w14:paraId="661173B0" w14:textId="77777777" w:rsidR="007735CD" w:rsidRPr="007735CD" w:rsidRDefault="007735CD" w:rsidP="007C0CDD">
            <w:pPr>
              <w:numPr>
                <w:ilvl w:val="0"/>
                <w:numId w:val="11"/>
              </w:numPr>
              <w:contextualSpacing/>
              <w:rPr>
                <w:sz w:val="22"/>
                <w:szCs w:val="22"/>
                <w:lang w:val="en-GB"/>
              </w:rPr>
            </w:pPr>
            <w:r w:rsidRPr="007735CD">
              <w:rPr>
                <w:sz w:val="22"/>
                <w:szCs w:val="22"/>
              </w:rPr>
              <w:t>Remember that how you win a campaign is as important as what you win. A positive win lays the foundation for future wins – and a certain level of pragmatism is often required</w:t>
            </w:r>
          </w:p>
        </w:tc>
      </w:tr>
      <w:tr w:rsidR="007735CD" w:rsidRPr="007735CD" w14:paraId="76A7EED1" w14:textId="77777777" w:rsidTr="007735CD">
        <w:tc>
          <w:tcPr>
            <w:tcW w:w="9180" w:type="dxa"/>
          </w:tcPr>
          <w:p w14:paraId="207D014F" w14:textId="77777777" w:rsidR="007735CD" w:rsidRPr="007735CD" w:rsidRDefault="007735CD" w:rsidP="007C0CDD">
            <w:pPr>
              <w:numPr>
                <w:ilvl w:val="0"/>
                <w:numId w:val="11"/>
              </w:numPr>
              <w:contextualSpacing/>
              <w:rPr>
                <w:sz w:val="22"/>
                <w:szCs w:val="22"/>
                <w:lang w:val="en-GB"/>
              </w:rPr>
            </w:pPr>
            <w:r w:rsidRPr="007735CD">
              <w:rPr>
                <w:sz w:val="22"/>
                <w:szCs w:val="22"/>
              </w:rPr>
              <w:t>Be reasonable, constructive and professional when dealing with decision makers. Build relationships of trust, appealing to the best in politicians and public servants can be helpful to their sense of fairness.</w:t>
            </w:r>
          </w:p>
        </w:tc>
      </w:tr>
      <w:tr w:rsidR="007735CD" w:rsidRPr="007735CD" w14:paraId="40F6790E" w14:textId="77777777" w:rsidTr="007735CD">
        <w:tc>
          <w:tcPr>
            <w:tcW w:w="9180" w:type="dxa"/>
          </w:tcPr>
          <w:p w14:paraId="2381ADD5" w14:textId="5DC3D52E" w:rsidR="007735CD" w:rsidRPr="007735CD" w:rsidRDefault="007735CD" w:rsidP="007C0CDD">
            <w:pPr>
              <w:numPr>
                <w:ilvl w:val="0"/>
                <w:numId w:val="11"/>
              </w:numPr>
              <w:contextualSpacing/>
              <w:rPr>
                <w:sz w:val="22"/>
                <w:szCs w:val="22"/>
                <w:lang w:val="en-GB"/>
              </w:rPr>
            </w:pPr>
            <w:r w:rsidRPr="007735CD">
              <w:rPr>
                <w:sz w:val="22"/>
                <w:szCs w:val="22"/>
              </w:rPr>
              <w:t>Recognise the value of proven international models and frameworks and harness these whenever possible</w:t>
            </w:r>
            <w:r w:rsidR="00AD6487">
              <w:rPr>
                <w:sz w:val="22"/>
                <w:szCs w:val="22"/>
              </w:rPr>
              <w:t>.</w:t>
            </w:r>
          </w:p>
        </w:tc>
      </w:tr>
      <w:tr w:rsidR="007735CD" w:rsidRPr="007735CD" w14:paraId="65A0F512" w14:textId="77777777" w:rsidTr="007735CD">
        <w:tc>
          <w:tcPr>
            <w:tcW w:w="9180" w:type="dxa"/>
          </w:tcPr>
          <w:p w14:paraId="4A8EDC29" w14:textId="77777777" w:rsidR="007735CD" w:rsidRPr="007735CD" w:rsidRDefault="007735CD" w:rsidP="007C0CDD">
            <w:pPr>
              <w:numPr>
                <w:ilvl w:val="0"/>
                <w:numId w:val="11"/>
              </w:numPr>
              <w:contextualSpacing/>
              <w:rPr>
                <w:sz w:val="22"/>
                <w:szCs w:val="22"/>
                <w:lang w:val="en-GB"/>
              </w:rPr>
            </w:pPr>
            <w:r w:rsidRPr="007735CD">
              <w:rPr>
                <w:sz w:val="22"/>
                <w:szCs w:val="22"/>
              </w:rPr>
              <w:t>Where relevant adopt a collaborative approach (access regions/organisations) in order to provide evidence that the identified problems are systemic.</w:t>
            </w:r>
          </w:p>
        </w:tc>
      </w:tr>
      <w:tr w:rsidR="007735CD" w:rsidRPr="007735CD" w14:paraId="2EB2BB65" w14:textId="77777777" w:rsidTr="007735CD">
        <w:tc>
          <w:tcPr>
            <w:tcW w:w="9180" w:type="dxa"/>
          </w:tcPr>
          <w:p w14:paraId="6AE6AE1F" w14:textId="68982CF1" w:rsidR="007735CD" w:rsidRPr="007735CD" w:rsidRDefault="007735CD" w:rsidP="007C0CDD">
            <w:pPr>
              <w:numPr>
                <w:ilvl w:val="0"/>
                <w:numId w:val="11"/>
              </w:numPr>
              <w:contextualSpacing/>
              <w:rPr>
                <w:sz w:val="22"/>
                <w:szCs w:val="22"/>
                <w:lang w:val="en-GB"/>
              </w:rPr>
            </w:pPr>
            <w:r w:rsidRPr="007735CD">
              <w:rPr>
                <w:sz w:val="22"/>
                <w:szCs w:val="22"/>
              </w:rPr>
              <w:t>Take advantage of opportunities and adapt to changes in the external environment when they arise, e.g. a new government, new Minister, changing economic conditions</w:t>
            </w:r>
            <w:r w:rsidR="00AD6487">
              <w:rPr>
                <w:sz w:val="22"/>
                <w:szCs w:val="22"/>
              </w:rPr>
              <w:t>.</w:t>
            </w:r>
          </w:p>
        </w:tc>
      </w:tr>
      <w:tr w:rsidR="007735CD" w:rsidRPr="007735CD" w14:paraId="3F5C8EFA" w14:textId="77777777" w:rsidTr="007735CD">
        <w:tc>
          <w:tcPr>
            <w:tcW w:w="9180" w:type="dxa"/>
          </w:tcPr>
          <w:p w14:paraId="19CBED55" w14:textId="3CD62159" w:rsidR="007735CD" w:rsidRPr="007735CD" w:rsidRDefault="007735CD" w:rsidP="00467629">
            <w:pPr>
              <w:numPr>
                <w:ilvl w:val="0"/>
                <w:numId w:val="11"/>
              </w:numPr>
              <w:contextualSpacing/>
              <w:rPr>
                <w:sz w:val="22"/>
                <w:szCs w:val="22"/>
                <w:lang w:val="en-GB"/>
              </w:rPr>
            </w:pPr>
            <w:r w:rsidRPr="007735CD">
              <w:rPr>
                <w:sz w:val="22"/>
                <w:szCs w:val="22"/>
              </w:rPr>
              <w:t>Find ways to measure the impact of an advocacy campaign (this will help in terms of harnessing resources and goodwill for future campaigns</w:t>
            </w:r>
            <w:r w:rsidR="00AD6487">
              <w:rPr>
                <w:sz w:val="22"/>
                <w:szCs w:val="22"/>
              </w:rPr>
              <w:t>).</w:t>
            </w:r>
          </w:p>
        </w:tc>
      </w:tr>
      <w:tr w:rsidR="007735CD" w:rsidRPr="007735CD" w14:paraId="776A9A1F" w14:textId="77777777" w:rsidTr="007735CD">
        <w:tc>
          <w:tcPr>
            <w:tcW w:w="9180" w:type="dxa"/>
          </w:tcPr>
          <w:p w14:paraId="5CE5D008" w14:textId="77777777" w:rsidR="007735CD" w:rsidRPr="007735CD" w:rsidRDefault="007735CD" w:rsidP="007735CD">
            <w:pPr>
              <w:ind w:left="567"/>
              <w:contextualSpacing/>
              <w:jc w:val="right"/>
              <w:rPr>
                <w:i/>
                <w:sz w:val="22"/>
                <w:szCs w:val="22"/>
              </w:rPr>
            </w:pPr>
            <w:r w:rsidRPr="007735CD">
              <w:rPr>
                <w:i/>
                <w:sz w:val="22"/>
                <w:szCs w:val="22"/>
              </w:rPr>
              <w:t>Source: Mapping Study (2012) Case Studies</w:t>
            </w:r>
          </w:p>
        </w:tc>
      </w:tr>
    </w:tbl>
    <w:p w14:paraId="4FA78196" w14:textId="77777777" w:rsidR="007735CD" w:rsidRPr="007735CD" w:rsidRDefault="007735CD" w:rsidP="007735CD">
      <w:pPr>
        <w:autoSpaceDE w:val="0"/>
        <w:autoSpaceDN w:val="0"/>
        <w:adjustRightInd w:val="0"/>
        <w:spacing w:after="0" w:line="240" w:lineRule="auto"/>
        <w:rPr>
          <w:color w:val="000000" w:themeColor="text1"/>
        </w:rPr>
      </w:pPr>
    </w:p>
    <w:p w14:paraId="682327BD" w14:textId="7DCA32CA" w:rsidR="007735CD" w:rsidRPr="007735CD" w:rsidRDefault="007735CD" w:rsidP="007C0CDD">
      <w:pPr>
        <w:numPr>
          <w:ilvl w:val="0"/>
          <w:numId w:val="10"/>
        </w:numPr>
        <w:spacing w:line="240" w:lineRule="auto"/>
        <w:ind w:left="709" w:hanging="425"/>
        <w:contextualSpacing/>
        <w:rPr>
          <w:lang w:val="en-US"/>
        </w:rPr>
      </w:pPr>
      <w:r w:rsidRPr="007735CD">
        <w:rPr>
          <w:i/>
          <w:lang w:val="en-US"/>
        </w:rPr>
        <w:t>Policy</w:t>
      </w:r>
      <w:r w:rsidR="00FA32B8">
        <w:rPr>
          <w:i/>
          <w:lang w:val="en-US"/>
        </w:rPr>
        <w:t>-</w:t>
      </w:r>
      <w:r w:rsidRPr="007735CD">
        <w:rPr>
          <w:i/>
          <w:lang w:val="en-US"/>
        </w:rPr>
        <w:t>makers and influencers</w:t>
      </w:r>
      <w:r w:rsidRPr="007735CD">
        <w:rPr>
          <w:lang w:val="en-US"/>
        </w:rPr>
        <w:t xml:space="preserve"> commenting on the differences in effectiveness between social justice advocacy organisations </w:t>
      </w:r>
      <w:r w:rsidR="00D760B6">
        <w:rPr>
          <w:lang w:val="en-US"/>
        </w:rPr>
        <w:t xml:space="preserve">all clearly </w:t>
      </w:r>
      <w:r w:rsidRPr="007735CD">
        <w:rPr>
          <w:lang w:val="en-US"/>
        </w:rPr>
        <w:t>linked effectiveness to a number of</w:t>
      </w:r>
      <w:r w:rsidR="003E705F">
        <w:rPr>
          <w:lang w:val="en-US"/>
        </w:rPr>
        <w:t xml:space="preserve"> </w:t>
      </w:r>
      <w:r w:rsidR="00D760B6">
        <w:rPr>
          <w:lang w:val="en-US"/>
        </w:rPr>
        <w:t xml:space="preserve">key </w:t>
      </w:r>
      <w:r w:rsidR="003E705F">
        <w:rPr>
          <w:lang w:val="en-US"/>
        </w:rPr>
        <w:t>characteristics.  See Table 4.3</w:t>
      </w:r>
      <w:r w:rsidRPr="007735CD">
        <w:rPr>
          <w:lang w:val="en-US"/>
        </w:rPr>
        <w:t xml:space="preserve"> for details.</w:t>
      </w:r>
    </w:p>
    <w:p w14:paraId="27B86C1B" w14:textId="77777777" w:rsidR="007735CD" w:rsidRPr="007735CD" w:rsidRDefault="007735CD" w:rsidP="007735CD">
      <w:pPr>
        <w:spacing w:after="0" w:line="240" w:lineRule="auto"/>
        <w:ind w:left="709"/>
        <w:contextualSpacing/>
        <w:jc w:val="both"/>
        <w:rPr>
          <w:lang w:val="en-US"/>
        </w:rPr>
      </w:pPr>
    </w:p>
    <w:p w14:paraId="6918179B" w14:textId="061FE6BE" w:rsidR="00D02113" w:rsidRDefault="00D02113">
      <w:r>
        <w:br w:type="page"/>
      </w:r>
    </w:p>
    <w:tbl>
      <w:tblPr>
        <w:tblStyle w:val="TableGrid2"/>
        <w:tblW w:w="0" w:type="auto"/>
        <w:tblInd w:w="108" w:type="dxa"/>
        <w:tblLook w:val="04A0" w:firstRow="1" w:lastRow="0" w:firstColumn="1" w:lastColumn="0" w:noHBand="0" w:noVBand="1"/>
      </w:tblPr>
      <w:tblGrid>
        <w:gridCol w:w="4513"/>
        <w:gridCol w:w="4621"/>
      </w:tblGrid>
      <w:tr w:rsidR="007735CD" w:rsidRPr="007735CD" w14:paraId="07CF98AD" w14:textId="77777777" w:rsidTr="007735CD">
        <w:tc>
          <w:tcPr>
            <w:tcW w:w="9134" w:type="dxa"/>
            <w:gridSpan w:val="2"/>
            <w:shd w:val="clear" w:color="auto" w:fill="CCC0D9" w:themeFill="accent4" w:themeFillTint="66"/>
          </w:tcPr>
          <w:p w14:paraId="4A9D18DC" w14:textId="695D2D3A" w:rsidR="007735CD" w:rsidRPr="00ED47A2" w:rsidRDefault="003E705F" w:rsidP="00ED47A2">
            <w:pPr>
              <w:pStyle w:val="Heading4"/>
              <w:outlineLvl w:val="3"/>
            </w:pPr>
            <w:r>
              <w:lastRenderedPageBreak/>
              <w:t>Table 4.3</w:t>
            </w:r>
            <w:r w:rsidR="007735CD" w:rsidRPr="007735CD">
              <w:t xml:space="preserve"> Policy makers perceptions of the characteristics of effective social justice advocacy</w:t>
            </w:r>
          </w:p>
        </w:tc>
      </w:tr>
      <w:tr w:rsidR="007735CD" w:rsidRPr="007735CD" w14:paraId="60E69CC2" w14:textId="77777777" w:rsidTr="007735CD">
        <w:tc>
          <w:tcPr>
            <w:tcW w:w="4513" w:type="dxa"/>
            <w:shd w:val="clear" w:color="auto" w:fill="CCC0D9" w:themeFill="accent4" w:themeFillTint="66"/>
          </w:tcPr>
          <w:p w14:paraId="4220D5C7" w14:textId="3B60864C" w:rsidR="007735CD" w:rsidRPr="007735CD" w:rsidRDefault="007735CD" w:rsidP="007735CD">
            <w:pPr>
              <w:rPr>
                <w:i/>
                <w:sz w:val="22"/>
                <w:szCs w:val="22"/>
              </w:rPr>
            </w:pPr>
            <w:r w:rsidRPr="007735CD">
              <w:rPr>
                <w:i/>
                <w:sz w:val="22"/>
                <w:szCs w:val="22"/>
              </w:rPr>
              <w:t xml:space="preserve">Characteristics of Effective Social Justice Advocacy by Community and Voluntary </w:t>
            </w:r>
            <w:r w:rsidR="00FA32B8">
              <w:rPr>
                <w:i/>
                <w:sz w:val="22"/>
                <w:szCs w:val="22"/>
              </w:rPr>
              <w:t>S</w:t>
            </w:r>
            <w:r w:rsidRPr="007735CD">
              <w:rPr>
                <w:i/>
                <w:sz w:val="22"/>
                <w:szCs w:val="22"/>
              </w:rPr>
              <w:t xml:space="preserve">ector </w:t>
            </w:r>
            <w:r w:rsidR="00FA32B8">
              <w:rPr>
                <w:i/>
                <w:sz w:val="22"/>
                <w:szCs w:val="22"/>
              </w:rPr>
              <w:t>O</w:t>
            </w:r>
            <w:r w:rsidRPr="007735CD">
              <w:rPr>
                <w:i/>
                <w:sz w:val="22"/>
                <w:szCs w:val="22"/>
              </w:rPr>
              <w:t>rganisations</w:t>
            </w:r>
          </w:p>
        </w:tc>
        <w:tc>
          <w:tcPr>
            <w:tcW w:w="4621" w:type="dxa"/>
            <w:shd w:val="clear" w:color="auto" w:fill="CCC0D9" w:themeFill="accent4" w:themeFillTint="66"/>
          </w:tcPr>
          <w:p w14:paraId="00B5FE3A" w14:textId="6575662F" w:rsidR="007735CD" w:rsidRPr="007735CD" w:rsidRDefault="007735CD" w:rsidP="007735CD">
            <w:pPr>
              <w:rPr>
                <w:i/>
                <w:sz w:val="22"/>
                <w:szCs w:val="22"/>
              </w:rPr>
            </w:pPr>
            <w:r w:rsidRPr="007735CD">
              <w:rPr>
                <w:i/>
                <w:sz w:val="22"/>
                <w:szCs w:val="22"/>
              </w:rPr>
              <w:t xml:space="preserve">Characteristics of Ineffective Social Justice Advocacy by Community and Voluntary </w:t>
            </w:r>
            <w:r w:rsidR="00FA32B8">
              <w:rPr>
                <w:i/>
                <w:sz w:val="22"/>
                <w:szCs w:val="22"/>
              </w:rPr>
              <w:t>S</w:t>
            </w:r>
            <w:r w:rsidRPr="007735CD">
              <w:rPr>
                <w:i/>
                <w:sz w:val="22"/>
                <w:szCs w:val="22"/>
              </w:rPr>
              <w:t xml:space="preserve">ector </w:t>
            </w:r>
            <w:r w:rsidR="00FA32B8">
              <w:rPr>
                <w:i/>
                <w:sz w:val="22"/>
                <w:szCs w:val="22"/>
              </w:rPr>
              <w:t>O</w:t>
            </w:r>
            <w:r w:rsidRPr="007735CD">
              <w:rPr>
                <w:i/>
                <w:sz w:val="22"/>
                <w:szCs w:val="22"/>
              </w:rPr>
              <w:t>rganisations</w:t>
            </w:r>
          </w:p>
        </w:tc>
      </w:tr>
      <w:tr w:rsidR="007735CD" w:rsidRPr="007735CD" w14:paraId="342E173D" w14:textId="77777777" w:rsidTr="007735CD">
        <w:tc>
          <w:tcPr>
            <w:tcW w:w="4513" w:type="dxa"/>
          </w:tcPr>
          <w:p w14:paraId="0A18A655" w14:textId="63DE00ED" w:rsidR="007735CD" w:rsidRPr="007735CD" w:rsidRDefault="007735CD" w:rsidP="007735CD">
            <w:pPr>
              <w:rPr>
                <w:sz w:val="22"/>
                <w:szCs w:val="22"/>
              </w:rPr>
            </w:pPr>
            <w:r w:rsidRPr="007735CD">
              <w:rPr>
                <w:sz w:val="22"/>
                <w:szCs w:val="22"/>
              </w:rPr>
              <w:t xml:space="preserve">Being genuinely representative with a clear mandate from the individuals/groups represented </w:t>
            </w:r>
          </w:p>
        </w:tc>
        <w:tc>
          <w:tcPr>
            <w:tcW w:w="4621" w:type="dxa"/>
          </w:tcPr>
          <w:p w14:paraId="6EB1C060" w14:textId="77777777" w:rsidR="007735CD" w:rsidRPr="007735CD" w:rsidRDefault="007735CD" w:rsidP="007735CD">
            <w:pPr>
              <w:rPr>
                <w:sz w:val="22"/>
                <w:szCs w:val="22"/>
              </w:rPr>
            </w:pPr>
            <w:r w:rsidRPr="007735CD">
              <w:rPr>
                <w:sz w:val="22"/>
                <w:szCs w:val="22"/>
              </w:rPr>
              <w:t>The absences of a clear mandate</w:t>
            </w:r>
          </w:p>
        </w:tc>
      </w:tr>
      <w:tr w:rsidR="007735CD" w:rsidRPr="007735CD" w14:paraId="02A361EE" w14:textId="77777777" w:rsidTr="007735CD">
        <w:tc>
          <w:tcPr>
            <w:tcW w:w="4513" w:type="dxa"/>
          </w:tcPr>
          <w:p w14:paraId="673E5C72" w14:textId="77777777" w:rsidR="007735CD" w:rsidRPr="007735CD" w:rsidRDefault="007735CD" w:rsidP="007735CD">
            <w:pPr>
              <w:rPr>
                <w:sz w:val="22"/>
                <w:szCs w:val="22"/>
              </w:rPr>
            </w:pPr>
            <w:r w:rsidRPr="007735CD">
              <w:rPr>
                <w:sz w:val="22"/>
                <w:szCs w:val="22"/>
              </w:rPr>
              <w:t xml:space="preserve">Combining being representative and professional in terms of having clear strategies for engagement with policy makers </w:t>
            </w:r>
          </w:p>
        </w:tc>
        <w:tc>
          <w:tcPr>
            <w:tcW w:w="4621" w:type="dxa"/>
          </w:tcPr>
          <w:p w14:paraId="5E6D60B9" w14:textId="77777777" w:rsidR="007735CD" w:rsidRPr="007735CD" w:rsidRDefault="007735CD" w:rsidP="007735CD">
            <w:pPr>
              <w:rPr>
                <w:sz w:val="22"/>
                <w:szCs w:val="22"/>
              </w:rPr>
            </w:pPr>
            <w:r w:rsidRPr="007735CD">
              <w:rPr>
                <w:sz w:val="22"/>
                <w:szCs w:val="22"/>
              </w:rPr>
              <w:t>Outrage – without solutions (often</w:t>
            </w:r>
          </w:p>
          <w:p w14:paraId="252474D9" w14:textId="77777777" w:rsidR="007735CD" w:rsidRPr="007735CD" w:rsidRDefault="007735CD" w:rsidP="007735CD">
            <w:pPr>
              <w:rPr>
                <w:sz w:val="22"/>
                <w:szCs w:val="22"/>
              </w:rPr>
            </w:pPr>
            <w:r w:rsidRPr="007735CD">
              <w:rPr>
                <w:sz w:val="22"/>
                <w:szCs w:val="22"/>
              </w:rPr>
              <w:t>linked to a lack of realism)</w:t>
            </w:r>
          </w:p>
        </w:tc>
      </w:tr>
      <w:tr w:rsidR="007735CD" w:rsidRPr="007735CD" w14:paraId="43F4575B" w14:textId="77777777" w:rsidTr="007735CD">
        <w:tc>
          <w:tcPr>
            <w:tcW w:w="4513" w:type="dxa"/>
          </w:tcPr>
          <w:p w14:paraId="50F0AAAC" w14:textId="77777777" w:rsidR="007735CD" w:rsidRPr="007735CD" w:rsidRDefault="007735CD" w:rsidP="007735CD">
            <w:pPr>
              <w:rPr>
                <w:sz w:val="22"/>
                <w:szCs w:val="22"/>
              </w:rPr>
            </w:pPr>
            <w:r w:rsidRPr="007735CD">
              <w:rPr>
                <w:sz w:val="22"/>
                <w:szCs w:val="22"/>
              </w:rPr>
              <w:t>Building relationships with people in the system and working to feed into the system</w:t>
            </w:r>
          </w:p>
        </w:tc>
        <w:tc>
          <w:tcPr>
            <w:tcW w:w="4621" w:type="dxa"/>
          </w:tcPr>
          <w:p w14:paraId="3BD05FB4" w14:textId="77777777" w:rsidR="007735CD" w:rsidRPr="007735CD" w:rsidRDefault="007735CD" w:rsidP="007735CD">
            <w:pPr>
              <w:rPr>
                <w:sz w:val="22"/>
                <w:szCs w:val="22"/>
              </w:rPr>
            </w:pPr>
            <w:r w:rsidRPr="007735CD">
              <w:rPr>
                <w:sz w:val="22"/>
                <w:szCs w:val="22"/>
              </w:rPr>
              <w:t>A general absence of energy and enthusiasm, linked to negative attitudes and approaches</w:t>
            </w:r>
          </w:p>
        </w:tc>
      </w:tr>
      <w:tr w:rsidR="007735CD" w:rsidRPr="007735CD" w14:paraId="156AB5CC" w14:textId="77777777" w:rsidTr="007735CD">
        <w:tc>
          <w:tcPr>
            <w:tcW w:w="4513" w:type="dxa"/>
          </w:tcPr>
          <w:p w14:paraId="0FC8052B" w14:textId="77777777" w:rsidR="007735CD" w:rsidRPr="007735CD" w:rsidRDefault="007735CD" w:rsidP="007735CD">
            <w:pPr>
              <w:rPr>
                <w:sz w:val="22"/>
                <w:szCs w:val="22"/>
              </w:rPr>
            </w:pPr>
            <w:r w:rsidRPr="007735CD">
              <w:rPr>
                <w:sz w:val="22"/>
                <w:szCs w:val="22"/>
              </w:rPr>
              <w:t>Being solution focused</w:t>
            </w:r>
          </w:p>
        </w:tc>
        <w:tc>
          <w:tcPr>
            <w:tcW w:w="4621" w:type="dxa"/>
          </w:tcPr>
          <w:p w14:paraId="077B0490" w14:textId="77777777" w:rsidR="007735CD" w:rsidRPr="007735CD" w:rsidRDefault="007735CD" w:rsidP="007735CD">
            <w:pPr>
              <w:rPr>
                <w:sz w:val="22"/>
                <w:szCs w:val="22"/>
              </w:rPr>
            </w:pPr>
            <w:r w:rsidRPr="007735CD">
              <w:rPr>
                <w:sz w:val="22"/>
                <w:szCs w:val="22"/>
              </w:rPr>
              <w:t>Outrage – with no solutions (often linked to a lack of realism)</w:t>
            </w:r>
          </w:p>
        </w:tc>
      </w:tr>
      <w:tr w:rsidR="007735CD" w:rsidRPr="007735CD" w14:paraId="5B9DA653" w14:textId="77777777" w:rsidTr="007735CD">
        <w:tc>
          <w:tcPr>
            <w:tcW w:w="4513" w:type="dxa"/>
          </w:tcPr>
          <w:p w14:paraId="39CD1067" w14:textId="77777777" w:rsidR="007735CD" w:rsidRPr="007735CD" w:rsidRDefault="007735CD" w:rsidP="007735CD">
            <w:pPr>
              <w:rPr>
                <w:sz w:val="22"/>
                <w:szCs w:val="22"/>
              </w:rPr>
            </w:pPr>
            <w:r w:rsidRPr="007735CD">
              <w:rPr>
                <w:sz w:val="22"/>
                <w:szCs w:val="22"/>
              </w:rPr>
              <w:t xml:space="preserve">Being responsive and innovative </w:t>
            </w:r>
          </w:p>
        </w:tc>
        <w:tc>
          <w:tcPr>
            <w:tcW w:w="4621" w:type="dxa"/>
          </w:tcPr>
          <w:p w14:paraId="0AFB093A" w14:textId="77777777" w:rsidR="007735CD" w:rsidRPr="007735CD" w:rsidRDefault="007735CD" w:rsidP="007735CD">
            <w:pPr>
              <w:rPr>
                <w:sz w:val="22"/>
                <w:szCs w:val="22"/>
              </w:rPr>
            </w:pPr>
            <w:r w:rsidRPr="007735CD">
              <w:rPr>
                <w:sz w:val="22"/>
                <w:szCs w:val="22"/>
              </w:rPr>
              <w:t>Being unresponsive, with a lack of innovative thinking and action</w:t>
            </w:r>
          </w:p>
        </w:tc>
      </w:tr>
      <w:tr w:rsidR="007735CD" w:rsidRPr="007735CD" w14:paraId="0D49729E" w14:textId="77777777" w:rsidTr="007735CD">
        <w:tc>
          <w:tcPr>
            <w:tcW w:w="4513" w:type="dxa"/>
          </w:tcPr>
          <w:p w14:paraId="4A029718" w14:textId="77777777" w:rsidR="007735CD" w:rsidRPr="007735CD" w:rsidRDefault="007735CD" w:rsidP="007735CD">
            <w:pPr>
              <w:rPr>
                <w:sz w:val="22"/>
                <w:szCs w:val="22"/>
              </w:rPr>
            </w:pPr>
            <w:r w:rsidRPr="007735CD">
              <w:rPr>
                <w:sz w:val="22"/>
                <w:szCs w:val="22"/>
              </w:rPr>
              <w:t>Working collectively</w:t>
            </w:r>
          </w:p>
        </w:tc>
        <w:tc>
          <w:tcPr>
            <w:tcW w:w="4621" w:type="dxa"/>
          </w:tcPr>
          <w:p w14:paraId="606B3E7F" w14:textId="77777777" w:rsidR="007735CD" w:rsidRPr="007735CD" w:rsidRDefault="007735CD" w:rsidP="007735CD">
            <w:pPr>
              <w:rPr>
                <w:sz w:val="22"/>
                <w:szCs w:val="22"/>
              </w:rPr>
            </w:pPr>
            <w:r w:rsidRPr="007735CD">
              <w:rPr>
                <w:sz w:val="22"/>
                <w:szCs w:val="22"/>
              </w:rPr>
              <w:t>A lack of awareness and understanding of how policy/decision making processes work</w:t>
            </w:r>
          </w:p>
        </w:tc>
      </w:tr>
      <w:tr w:rsidR="007735CD" w:rsidRPr="007735CD" w14:paraId="16CF7EA4" w14:textId="77777777" w:rsidTr="007735CD">
        <w:tc>
          <w:tcPr>
            <w:tcW w:w="9134" w:type="dxa"/>
            <w:gridSpan w:val="2"/>
          </w:tcPr>
          <w:p w14:paraId="55BEE120" w14:textId="0442A8B3" w:rsidR="007735CD" w:rsidRPr="007735CD" w:rsidRDefault="007735CD" w:rsidP="006D4BAC">
            <w:pPr>
              <w:jc w:val="right"/>
              <w:rPr>
                <w:i/>
                <w:sz w:val="22"/>
                <w:szCs w:val="22"/>
              </w:rPr>
            </w:pPr>
            <w:r w:rsidRPr="007735CD">
              <w:rPr>
                <w:i/>
                <w:sz w:val="22"/>
                <w:szCs w:val="22"/>
              </w:rPr>
              <w:t xml:space="preserve">Source: </w:t>
            </w:r>
            <w:r w:rsidR="006D4BAC">
              <w:rPr>
                <w:i/>
                <w:sz w:val="22"/>
                <w:szCs w:val="22"/>
              </w:rPr>
              <w:t>‘In Other Words’: Policy makers’ pe</w:t>
            </w:r>
            <w:r w:rsidRPr="007735CD">
              <w:rPr>
                <w:i/>
                <w:sz w:val="22"/>
                <w:szCs w:val="22"/>
              </w:rPr>
              <w:t>rceptions</w:t>
            </w:r>
            <w:r w:rsidR="006D4BAC">
              <w:rPr>
                <w:i/>
                <w:sz w:val="22"/>
                <w:szCs w:val="22"/>
              </w:rPr>
              <w:t xml:space="preserve"> of social justice advocacy</w:t>
            </w:r>
            <w:r w:rsidRPr="007735CD">
              <w:rPr>
                <w:i/>
                <w:sz w:val="22"/>
                <w:szCs w:val="22"/>
              </w:rPr>
              <w:t xml:space="preserve"> (2013)</w:t>
            </w:r>
          </w:p>
        </w:tc>
      </w:tr>
    </w:tbl>
    <w:p w14:paraId="313A1047" w14:textId="77777777" w:rsidR="007735CD" w:rsidRDefault="007735CD" w:rsidP="007735CD">
      <w:pPr>
        <w:spacing w:line="240" w:lineRule="auto"/>
      </w:pPr>
    </w:p>
    <w:p w14:paraId="455565F2" w14:textId="5006DD12" w:rsidR="00D760B6" w:rsidRDefault="00D760B6" w:rsidP="007735CD">
      <w:pPr>
        <w:spacing w:line="240" w:lineRule="auto"/>
      </w:pPr>
      <w:r>
        <w:t>Areas where there were less consensus and more divergent views about what is effective advocacy included:</w:t>
      </w:r>
    </w:p>
    <w:p w14:paraId="750ABB59" w14:textId="56D65FF5" w:rsidR="00D760B6" w:rsidRDefault="00D760B6" w:rsidP="007C0CDD">
      <w:pPr>
        <w:pStyle w:val="ListParagraph"/>
        <w:numPr>
          <w:ilvl w:val="2"/>
          <w:numId w:val="4"/>
        </w:numPr>
        <w:spacing w:line="240" w:lineRule="auto"/>
        <w:ind w:left="426"/>
      </w:pPr>
      <w:r>
        <w:t xml:space="preserve">The use of outsider strategies (including </w:t>
      </w:r>
      <w:r w:rsidR="00B55477">
        <w:t>engagement with general public (</w:t>
      </w:r>
      <w:r w:rsidR="005B2339">
        <w:t>e.g.</w:t>
      </w:r>
      <w:r w:rsidR="00B55477">
        <w:t xml:space="preserve"> petitions/mass emails) and </w:t>
      </w:r>
      <w:r>
        <w:t>the use of the media) was seen by some to be very effective and by others to be destructive</w:t>
      </w:r>
      <w:r w:rsidR="00B55477">
        <w:t xml:space="preserve"> (of relationships with policy</w:t>
      </w:r>
      <w:r w:rsidR="00FA32B8">
        <w:t>-</w:t>
      </w:r>
      <w:r w:rsidR="00B55477">
        <w:t>makers)</w:t>
      </w:r>
      <w:r>
        <w:t>.</w:t>
      </w:r>
    </w:p>
    <w:p w14:paraId="36852DC8" w14:textId="77777777" w:rsidR="00D760B6" w:rsidRDefault="00D760B6" w:rsidP="00CD79EE">
      <w:pPr>
        <w:pStyle w:val="ListParagraph"/>
        <w:spacing w:line="240" w:lineRule="auto"/>
        <w:ind w:left="426"/>
      </w:pPr>
    </w:p>
    <w:p w14:paraId="53F8E22B" w14:textId="77777777" w:rsidR="00D760B6" w:rsidRDefault="00D760B6" w:rsidP="007C0CDD">
      <w:pPr>
        <w:pStyle w:val="ListParagraph"/>
        <w:numPr>
          <w:ilvl w:val="2"/>
          <w:numId w:val="4"/>
        </w:numPr>
        <w:spacing w:line="240" w:lineRule="auto"/>
        <w:ind w:left="426"/>
      </w:pPr>
      <w:r>
        <w:t>Combining an advocacy function with the service provision function was seen by some to be essential to effective advocacy, while others where happy for these functions to be exercised independently.</w:t>
      </w:r>
    </w:p>
    <w:p w14:paraId="7A41AF93" w14:textId="77777777" w:rsidR="00D760B6" w:rsidRDefault="00D760B6" w:rsidP="00CD79EE">
      <w:pPr>
        <w:pStyle w:val="ListParagraph"/>
        <w:ind w:left="426"/>
      </w:pPr>
    </w:p>
    <w:p w14:paraId="06976D1D" w14:textId="0F7E905E" w:rsidR="00D760B6" w:rsidRDefault="00D760B6" w:rsidP="007C0CDD">
      <w:pPr>
        <w:pStyle w:val="ListParagraph"/>
        <w:numPr>
          <w:ilvl w:val="2"/>
          <w:numId w:val="4"/>
        </w:numPr>
        <w:spacing w:line="240" w:lineRule="auto"/>
        <w:ind w:left="426"/>
      </w:pPr>
      <w:r>
        <w:t xml:space="preserve">The ability to be able to produce focused and timely research that could be fed into policy formulation was seen by some to be </w:t>
      </w:r>
      <w:r w:rsidR="00B55477">
        <w:t>critical to effective advocacy, while for others this was less important than the effective delivery of services.</w:t>
      </w:r>
    </w:p>
    <w:p w14:paraId="6151EC2A" w14:textId="792C2E5D" w:rsidR="007735CD" w:rsidRPr="007735CD" w:rsidRDefault="007735CD" w:rsidP="007735CD">
      <w:pPr>
        <w:spacing w:line="240" w:lineRule="auto"/>
        <w:rPr>
          <w:color w:val="000000" w:themeColor="text1"/>
        </w:rPr>
      </w:pPr>
      <w:r w:rsidRPr="007735CD">
        <w:rPr>
          <w:color w:val="000000" w:themeColor="text1"/>
        </w:rPr>
        <w:t xml:space="preserve">The development by </w:t>
      </w:r>
      <w:r w:rsidR="00FA32B8">
        <w:rPr>
          <w:color w:val="000000" w:themeColor="text1"/>
        </w:rPr>
        <w:t>T</w:t>
      </w:r>
      <w:r w:rsidRPr="007735CD">
        <w:rPr>
          <w:color w:val="000000" w:themeColor="text1"/>
        </w:rPr>
        <w:t>he Advocacy Initiative (</w:t>
      </w:r>
      <w:r w:rsidR="0005408A">
        <w:rPr>
          <w:color w:val="000000" w:themeColor="text1"/>
        </w:rPr>
        <w:t>with the help of</w:t>
      </w:r>
      <w:r w:rsidRPr="007735CD">
        <w:rPr>
          <w:color w:val="000000" w:themeColor="text1"/>
        </w:rPr>
        <w:t xml:space="preserve"> </w:t>
      </w:r>
      <w:r w:rsidRPr="007735CD">
        <w:t xml:space="preserve">Bolder Advocacy, an initiative of the Alliance for Justice (AFJ) in the United States) </w:t>
      </w:r>
      <w:r w:rsidRPr="007735CD">
        <w:rPr>
          <w:color w:val="000000" w:themeColor="text1"/>
        </w:rPr>
        <w:t xml:space="preserve">of the </w:t>
      </w:r>
      <w:r w:rsidR="0005408A">
        <w:t>Assess Your Advocacy to</w:t>
      </w:r>
      <w:r w:rsidR="005B2339">
        <w:t>o</w:t>
      </w:r>
      <w:r w:rsidR="0005408A">
        <w:t>l</w:t>
      </w:r>
      <w:r w:rsidR="007539ED">
        <w:t xml:space="preserve"> </w:t>
      </w:r>
      <w:r w:rsidR="00CB3DFD">
        <w:t>and the evaluation indicators which are</w:t>
      </w:r>
      <w:r w:rsidRPr="007735CD">
        <w:t xml:space="preserve"> designed to help community and voluntary organisations me</w:t>
      </w:r>
      <w:r w:rsidR="00CB3DFD">
        <w:t xml:space="preserve">asure their advocacy capacity, </w:t>
      </w:r>
      <w:r w:rsidRPr="007735CD">
        <w:t xml:space="preserve">if applied </w:t>
      </w:r>
      <w:r w:rsidR="00CB3DFD">
        <w:t>by the sector have</w:t>
      </w:r>
      <w:r w:rsidRPr="007735CD">
        <w:t xml:space="preserve"> an important contribution to make in relation to measuring the effectiveness of particular organisations social justice advocacy work.</w:t>
      </w:r>
    </w:p>
    <w:p w14:paraId="41BDC5FF" w14:textId="128F81D5" w:rsidR="008D6ED4" w:rsidRPr="008D6ED4" w:rsidRDefault="007735CD" w:rsidP="00ED47A2">
      <w:pPr>
        <w:pStyle w:val="Heading2"/>
      </w:pPr>
      <w:bookmarkStart w:id="63" w:name="_Toc394492966"/>
      <w:bookmarkStart w:id="64" w:name="_Toc394493497"/>
      <w:r w:rsidRPr="007735CD">
        <w:t>4.4</w:t>
      </w:r>
      <w:r w:rsidRPr="007735CD">
        <w:tab/>
      </w:r>
      <w:r w:rsidR="005B2339">
        <w:t xml:space="preserve">Key contextual </w:t>
      </w:r>
      <w:r w:rsidR="008D6ED4" w:rsidRPr="008D6ED4">
        <w:t>challenges for the community and voluntary sector?</w:t>
      </w:r>
      <w:bookmarkEnd w:id="63"/>
      <w:bookmarkEnd w:id="64"/>
    </w:p>
    <w:p w14:paraId="2C42A0D1" w14:textId="77777777" w:rsidR="00ED47A2" w:rsidRDefault="00ED47A2" w:rsidP="007735CD">
      <w:pPr>
        <w:spacing w:line="240" w:lineRule="auto"/>
        <w:rPr>
          <w:color w:val="7030A0"/>
        </w:rPr>
      </w:pPr>
    </w:p>
    <w:p w14:paraId="41DBF541" w14:textId="77777777" w:rsidR="007735CD" w:rsidRPr="007735CD" w:rsidRDefault="007735CD" w:rsidP="00ED47A2">
      <w:pPr>
        <w:pStyle w:val="Heading3"/>
      </w:pPr>
      <w:bookmarkStart w:id="65" w:name="_Toc394492967"/>
      <w:r w:rsidRPr="007735CD">
        <w:t>The broader economic, social and political context</w:t>
      </w:r>
      <w:bookmarkEnd w:id="65"/>
    </w:p>
    <w:p w14:paraId="2E5C9D40" w14:textId="3BC10D59" w:rsidR="007735CD" w:rsidRPr="007735CD" w:rsidRDefault="007735CD" w:rsidP="007735CD">
      <w:pPr>
        <w:spacing w:line="240" w:lineRule="auto"/>
      </w:pPr>
      <w:r w:rsidRPr="007735CD">
        <w:t xml:space="preserve">There was a strong sense at the outset and indeed throughout the lifetime of the Initiative that the wider economic, social and political context made advocacy work and social justice advocacy work in particular more challenging. This was specifically linked to: </w:t>
      </w:r>
    </w:p>
    <w:p w14:paraId="2BAB5B6F" w14:textId="754BFC25" w:rsidR="00D02113" w:rsidRDefault="007735CD" w:rsidP="007C0CDD">
      <w:pPr>
        <w:pStyle w:val="ListParagraph"/>
        <w:numPr>
          <w:ilvl w:val="2"/>
          <w:numId w:val="4"/>
        </w:numPr>
        <w:ind w:left="709" w:hanging="709"/>
      </w:pPr>
      <w:r w:rsidRPr="007735CD">
        <w:lastRenderedPageBreak/>
        <w:t>The effects of the ongoing economic recession – including a more challenging funding environment, and diminished prospects for positive change.</w:t>
      </w:r>
    </w:p>
    <w:p w14:paraId="51C78C66" w14:textId="77777777" w:rsidR="005A1470" w:rsidRDefault="005A1470" w:rsidP="005A1470">
      <w:pPr>
        <w:pStyle w:val="ListParagraph"/>
        <w:ind w:left="709"/>
      </w:pPr>
    </w:p>
    <w:p w14:paraId="26A8A30A" w14:textId="670808F6" w:rsidR="00C242C3" w:rsidRDefault="003E5462" w:rsidP="003E5462">
      <w:pPr>
        <w:pStyle w:val="ListParagraph"/>
        <w:spacing w:line="240" w:lineRule="auto"/>
        <w:ind w:left="709" w:hanging="709"/>
      </w:pPr>
      <w:r>
        <w:t xml:space="preserve">- </w:t>
      </w:r>
      <w:r>
        <w:tab/>
      </w:r>
      <w:r w:rsidR="00D02113">
        <w:t>The increasingly complex nature of poverty and social exclusion caused by t</w:t>
      </w:r>
      <w:r w:rsidR="00825022" w:rsidRPr="00825022">
        <w:t>he cumulative impact of unemployment or poorly paid employment, lack of opportunities and cuts to services and supports over a number of years for people on low incomes, unemployed, marginalised or dependent on welfare as well as those in debt.</w:t>
      </w:r>
    </w:p>
    <w:p w14:paraId="7FC6E2D7" w14:textId="51DF66E6" w:rsidR="007735CD" w:rsidRPr="007735CD" w:rsidRDefault="007735CD" w:rsidP="007735CD">
      <w:pPr>
        <w:spacing w:line="240" w:lineRule="auto"/>
        <w:ind w:left="709" w:hanging="709"/>
      </w:pPr>
      <w:r w:rsidRPr="007735CD">
        <w:t>-</w:t>
      </w:r>
      <w:r w:rsidRPr="007735CD">
        <w:tab/>
        <w:t>A level of hostility at government level to the equality agenda – and to dissent, more generally (a number of community and voluntary organisations reported actual/threatened funding cuts as a direct result of their advocacy work)</w:t>
      </w:r>
      <w:r w:rsidR="00CD79EE">
        <w:t>.</w:t>
      </w:r>
    </w:p>
    <w:p w14:paraId="0BF94905" w14:textId="079D06C4" w:rsidR="007735CD" w:rsidRPr="007735CD" w:rsidRDefault="007735CD" w:rsidP="00C242C3">
      <w:pPr>
        <w:spacing w:line="240" w:lineRule="auto"/>
        <w:ind w:left="709" w:hanging="709"/>
      </w:pPr>
      <w:r w:rsidRPr="007735CD">
        <w:t>-</w:t>
      </w:r>
      <w:r w:rsidRPr="007735CD">
        <w:tab/>
      </w:r>
      <w:r w:rsidR="00A37EF9">
        <w:t>With the demise of social partnership, i</w:t>
      </w:r>
      <w:r w:rsidRPr="007735CD">
        <w:t xml:space="preserve">ncreasingly limited </w:t>
      </w:r>
      <w:r w:rsidR="00FA32B8">
        <w:t>‘</w:t>
      </w:r>
      <w:r w:rsidRPr="007735CD">
        <w:t>space</w:t>
      </w:r>
      <w:r w:rsidR="00FA32B8">
        <w:t>’</w:t>
      </w:r>
      <w:r w:rsidRPr="007735CD">
        <w:t xml:space="preserve"> </w:t>
      </w:r>
      <w:r w:rsidR="00C242C3">
        <w:t xml:space="preserve">for </w:t>
      </w:r>
      <w:r w:rsidR="00C242C3" w:rsidRPr="007735CD">
        <w:t>civil society</w:t>
      </w:r>
      <w:r w:rsidR="00C242C3">
        <w:t xml:space="preserve"> to engage in policy making </w:t>
      </w:r>
      <w:r w:rsidR="00CD79EE">
        <w:t>fora.</w:t>
      </w:r>
    </w:p>
    <w:p w14:paraId="7573027B" w14:textId="2E19469A" w:rsidR="007735CD" w:rsidRPr="007735CD" w:rsidRDefault="007735CD" w:rsidP="00540880">
      <w:pPr>
        <w:spacing w:line="240" w:lineRule="auto"/>
        <w:ind w:left="709" w:hanging="709"/>
      </w:pPr>
      <w:r w:rsidRPr="007735CD">
        <w:t>-</w:t>
      </w:r>
      <w:r w:rsidRPr="007735CD">
        <w:tab/>
        <w:t>Recession  linked to compassion fatigue in media and amongst the general public</w:t>
      </w:r>
      <w:r w:rsidR="00540880">
        <w:t xml:space="preserve"> </w:t>
      </w:r>
      <w:r w:rsidR="009D7433">
        <w:t xml:space="preserve">leading to a fall in the number of people donating to charities in general (with </w:t>
      </w:r>
      <w:r w:rsidR="00CD79EE">
        <w:t>some</w:t>
      </w:r>
      <w:r w:rsidR="009D7433">
        <w:t xml:space="preserve"> exceptions), while there was an increase in the individual amounts being donated</w:t>
      </w:r>
      <w:r w:rsidR="00540880">
        <w:t>.</w:t>
      </w:r>
    </w:p>
    <w:p w14:paraId="58331554" w14:textId="0AE696AD" w:rsidR="007735CD" w:rsidRPr="007735CD" w:rsidRDefault="007735CD" w:rsidP="007735CD">
      <w:pPr>
        <w:spacing w:line="240" w:lineRule="auto"/>
        <w:ind w:left="709" w:hanging="709"/>
      </w:pPr>
      <w:r w:rsidRPr="007735CD">
        <w:t>-</w:t>
      </w:r>
      <w:r w:rsidRPr="007735CD">
        <w:tab/>
        <w:t>Increased competition for resources –</w:t>
      </w:r>
      <w:r w:rsidR="00CD79EE">
        <w:t xml:space="preserve"> </w:t>
      </w:r>
      <w:r w:rsidRPr="007735CD">
        <w:t xml:space="preserve">within the community and voluntary sector and between the community and voluntary sector and other sectors. </w:t>
      </w:r>
    </w:p>
    <w:p w14:paraId="3AC6200B" w14:textId="67C1D8B3" w:rsidR="007735CD" w:rsidRPr="007735CD" w:rsidRDefault="007735CD" w:rsidP="007735CD">
      <w:pPr>
        <w:spacing w:line="240" w:lineRule="auto"/>
        <w:ind w:left="709" w:hanging="709"/>
      </w:pPr>
      <w:r w:rsidRPr="007735CD">
        <w:t>-</w:t>
      </w:r>
      <w:r w:rsidRPr="007735CD">
        <w:tab/>
        <w:t xml:space="preserve">Questions at government level and among the media and general public as to whether there are too many </w:t>
      </w:r>
      <w:r w:rsidR="00CD79EE">
        <w:t>community and voluntary</w:t>
      </w:r>
      <w:r w:rsidR="00CD79EE" w:rsidRPr="007735CD">
        <w:t xml:space="preserve"> </w:t>
      </w:r>
      <w:r w:rsidR="00CD79EE">
        <w:t>organisations</w:t>
      </w:r>
      <w:r w:rsidRPr="007735CD">
        <w:t>.</w:t>
      </w:r>
    </w:p>
    <w:p w14:paraId="353009F2" w14:textId="75636EC8" w:rsidR="003E5462" w:rsidRDefault="007735CD" w:rsidP="003E5462">
      <w:pPr>
        <w:autoSpaceDE w:val="0"/>
        <w:autoSpaceDN w:val="0"/>
        <w:adjustRightInd w:val="0"/>
        <w:spacing w:after="0" w:line="240" w:lineRule="auto"/>
        <w:rPr>
          <w:rFonts w:cs="Graphik-Regular"/>
          <w:color w:val="404040"/>
        </w:rPr>
      </w:pPr>
      <w:r w:rsidRPr="007735CD">
        <w:t>-</w:t>
      </w:r>
      <w:r w:rsidRPr="007735CD">
        <w:tab/>
        <w:t>The current economic focus of policy</w:t>
      </w:r>
      <w:r w:rsidR="00FA32B8">
        <w:t>-</w:t>
      </w:r>
      <w:r w:rsidRPr="007735CD">
        <w:t>making structures</w:t>
      </w:r>
      <w:r w:rsidRPr="007735CD">
        <w:rPr>
          <w:rFonts w:cs="Graphik-Regular"/>
          <w:color w:val="404040"/>
        </w:rPr>
        <w:t>.</w:t>
      </w:r>
    </w:p>
    <w:p w14:paraId="3518E9E4" w14:textId="77777777" w:rsidR="003E5462" w:rsidRDefault="003E5462" w:rsidP="003E5462">
      <w:pPr>
        <w:autoSpaceDE w:val="0"/>
        <w:autoSpaceDN w:val="0"/>
        <w:adjustRightInd w:val="0"/>
        <w:spacing w:after="0" w:line="240" w:lineRule="auto"/>
        <w:rPr>
          <w:rFonts w:cs="Graphik-Regular"/>
          <w:color w:val="404040"/>
        </w:rPr>
      </w:pPr>
    </w:p>
    <w:p w14:paraId="6EEF3A07" w14:textId="618F14FB" w:rsidR="00540880" w:rsidRPr="003E5462" w:rsidRDefault="00540880" w:rsidP="007C0CDD">
      <w:pPr>
        <w:pStyle w:val="ListParagraph"/>
        <w:numPr>
          <w:ilvl w:val="2"/>
          <w:numId w:val="4"/>
        </w:numPr>
        <w:autoSpaceDE w:val="0"/>
        <w:autoSpaceDN w:val="0"/>
        <w:adjustRightInd w:val="0"/>
        <w:spacing w:after="0" w:line="240" w:lineRule="auto"/>
        <w:ind w:left="720" w:hanging="720"/>
        <w:rPr>
          <w:rFonts w:cs="Graphik-Regular"/>
          <w:color w:val="404040"/>
        </w:rPr>
      </w:pPr>
      <w:r w:rsidRPr="00540880">
        <w:t>Challenges in relation to the legitimacy of the community and voluntary sector and a concern about where organisations within the sector get and how they sustain their mandate</w:t>
      </w:r>
      <w:r>
        <w:t>.</w:t>
      </w:r>
    </w:p>
    <w:p w14:paraId="5DF66EE4" w14:textId="77777777" w:rsidR="007735CD" w:rsidRPr="003E5462" w:rsidRDefault="007735CD" w:rsidP="003E5462">
      <w:pPr>
        <w:spacing w:line="240" w:lineRule="auto"/>
        <w:ind w:left="709" w:hanging="709"/>
      </w:pPr>
    </w:p>
    <w:p w14:paraId="5209121E" w14:textId="1AB63AAB" w:rsidR="00D8735B" w:rsidRDefault="005A1470" w:rsidP="007735CD">
      <w:pPr>
        <w:autoSpaceDE w:val="0"/>
        <w:autoSpaceDN w:val="0"/>
        <w:adjustRightInd w:val="0"/>
        <w:spacing w:after="0" w:line="240" w:lineRule="auto"/>
        <w:rPr>
          <w:color w:val="000000" w:themeColor="text1"/>
        </w:rPr>
      </w:pPr>
      <w:r>
        <w:rPr>
          <w:color w:val="000000" w:themeColor="text1"/>
        </w:rPr>
        <w:t>Taken together it is clear that the community voluntary sector needs to be both efficient and innovative in terms of maximising both its resources and opportunities to engage with policy</w:t>
      </w:r>
      <w:r w:rsidR="00FA32B8">
        <w:rPr>
          <w:color w:val="000000" w:themeColor="text1"/>
        </w:rPr>
        <w:t>-</w:t>
      </w:r>
      <w:r>
        <w:rPr>
          <w:color w:val="000000" w:themeColor="text1"/>
        </w:rPr>
        <w:t>makers combining both insider and outsider strategies.</w:t>
      </w:r>
    </w:p>
    <w:p w14:paraId="3899BF73" w14:textId="77777777" w:rsidR="005A1470" w:rsidRDefault="005A1470" w:rsidP="007735CD">
      <w:pPr>
        <w:autoSpaceDE w:val="0"/>
        <w:autoSpaceDN w:val="0"/>
        <w:adjustRightInd w:val="0"/>
        <w:spacing w:after="0" w:line="240" w:lineRule="auto"/>
        <w:rPr>
          <w:color w:val="000000" w:themeColor="text1"/>
        </w:rPr>
      </w:pPr>
    </w:p>
    <w:p w14:paraId="4108FB50" w14:textId="77777777" w:rsidR="007735CD" w:rsidRPr="007735CD" w:rsidRDefault="007735CD" w:rsidP="00ED47A2">
      <w:pPr>
        <w:pStyle w:val="Heading3"/>
      </w:pPr>
      <w:bookmarkStart w:id="66" w:name="_Toc394492968"/>
      <w:r w:rsidRPr="007735CD">
        <w:t>A lack of understanding of the sector</w:t>
      </w:r>
      <w:r w:rsidR="004311BF">
        <w:t>’s social justice advocacy work</w:t>
      </w:r>
      <w:bookmarkEnd w:id="66"/>
      <w:r w:rsidRPr="007735CD">
        <w:t xml:space="preserve"> </w:t>
      </w:r>
    </w:p>
    <w:p w14:paraId="109E13EB" w14:textId="1F6DFEC6" w:rsidR="007735CD" w:rsidRPr="007735CD" w:rsidRDefault="007735CD" w:rsidP="007735CD">
      <w:pPr>
        <w:spacing w:line="240" w:lineRule="auto"/>
      </w:pPr>
      <w:r w:rsidRPr="007735CD">
        <w:t xml:space="preserve">Neither the community and voluntary sector nor its advocacy role and work were </w:t>
      </w:r>
      <w:r w:rsidR="00540880">
        <w:t xml:space="preserve">particularly </w:t>
      </w:r>
      <w:r w:rsidRPr="007735CD">
        <w:t>well understood</w:t>
      </w:r>
      <w:r w:rsidR="004311BF">
        <w:t xml:space="preserve"> in general but particularly </w:t>
      </w:r>
      <w:r w:rsidRPr="007735CD">
        <w:t xml:space="preserve">outside of decision making circles. This was not helped by the diversity and disparate nature of the sector. </w:t>
      </w:r>
    </w:p>
    <w:p w14:paraId="1B6EC869" w14:textId="3B61EC2F" w:rsidR="007735CD" w:rsidRPr="007735CD" w:rsidRDefault="007735CD" w:rsidP="007735CD">
      <w:pPr>
        <w:autoSpaceDE w:val="0"/>
        <w:autoSpaceDN w:val="0"/>
        <w:adjustRightInd w:val="0"/>
        <w:spacing w:line="240" w:lineRule="auto"/>
        <w:rPr>
          <w:rFonts w:cs="HelveticaNeue"/>
          <w:color w:val="4D4D4D"/>
        </w:rPr>
      </w:pPr>
      <w:r w:rsidRPr="007735CD">
        <w:t>Interestingly the public opinion polls found a level of positivity and openness towards the sector engaging in social justic</w:t>
      </w:r>
      <w:r w:rsidR="006D4BAC">
        <w:t xml:space="preserve">e advocacy work with 57% </w:t>
      </w:r>
      <w:r w:rsidRPr="007735CD">
        <w:t>believing that greater involvement of charities and community groups in national policy making would assist in ensuring that vulnerable people are better provided for in the current crisis</w:t>
      </w:r>
      <w:r w:rsidR="00FA32B8">
        <w:t>,</w:t>
      </w:r>
      <w:r w:rsidRPr="007735CD">
        <w:t xml:space="preserve"> and 46% in favour of the sector being more influential in relation to the law and policy.  It should also be noted in this context that there were significant differences in sympathy levels for various groups on who behalf the sector advocates.  There was for example a lot of support for work in relation to people with mental health issues and those experiencing homelessness and less support for asylum seekers, refugees and migrants.</w:t>
      </w:r>
    </w:p>
    <w:p w14:paraId="040B13CE" w14:textId="77777777" w:rsidR="007735CD" w:rsidRPr="007735CD" w:rsidRDefault="007735CD" w:rsidP="007735CD">
      <w:pPr>
        <w:spacing w:line="240" w:lineRule="auto"/>
      </w:pPr>
      <w:r w:rsidRPr="007735CD">
        <w:lastRenderedPageBreak/>
        <w:t>The challenge for the sector is to find ways to promote a better and wider understanding of its role and work among both the general public and indeed the media in order to capitalise on the positivity that exists towards it.  It also needs to find and use new and enhanced ways (</w:t>
      </w:r>
      <w:r w:rsidR="00F95131" w:rsidRPr="007735CD">
        <w:t>e.g.</w:t>
      </w:r>
      <w:r w:rsidRPr="007735CD">
        <w:t xml:space="preserve"> better use of social media/use of plain jargon free language) to engage with members of the public in order to get more people involved in campaigning for social justice.</w:t>
      </w:r>
    </w:p>
    <w:p w14:paraId="75946349" w14:textId="40A704B5" w:rsidR="008D6ED4" w:rsidRPr="008D6ED4" w:rsidRDefault="007735CD" w:rsidP="00ED47A2">
      <w:pPr>
        <w:pStyle w:val="Heading2"/>
      </w:pPr>
      <w:bookmarkStart w:id="67" w:name="_Toc394492969"/>
      <w:bookmarkStart w:id="68" w:name="_Toc394493498"/>
      <w:r w:rsidRPr="007735CD">
        <w:t>4.5</w:t>
      </w:r>
      <w:r w:rsidRPr="007735CD">
        <w:tab/>
      </w:r>
      <w:r w:rsidR="005B2339">
        <w:t xml:space="preserve">Key practice challenges for </w:t>
      </w:r>
      <w:r w:rsidR="008D6ED4" w:rsidRPr="008D6ED4">
        <w:t>community and voluntary social justice advocacy?</w:t>
      </w:r>
      <w:bookmarkEnd w:id="67"/>
      <w:bookmarkEnd w:id="68"/>
      <w:r w:rsidR="008D6ED4" w:rsidRPr="008D6ED4">
        <w:t xml:space="preserve"> </w:t>
      </w:r>
    </w:p>
    <w:p w14:paraId="58B1EF5D" w14:textId="77777777" w:rsidR="007735CD" w:rsidRPr="007735CD" w:rsidRDefault="007735CD" w:rsidP="007735CD">
      <w:pPr>
        <w:spacing w:line="240" w:lineRule="auto"/>
      </w:pPr>
      <w:r w:rsidRPr="007735CD">
        <w:t xml:space="preserve">The Advocacy Initiative’s work documented and identified the following challenges for the community &amp; voluntary sector undertaking the social justice advocacy work: </w:t>
      </w:r>
    </w:p>
    <w:p w14:paraId="41AF22D9" w14:textId="77777777" w:rsidR="007735CD" w:rsidRPr="007735CD" w:rsidRDefault="007735CD" w:rsidP="00ED47A2">
      <w:pPr>
        <w:pStyle w:val="Heading3"/>
      </w:pPr>
      <w:bookmarkStart w:id="69" w:name="_Toc394492970"/>
      <w:r w:rsidRPr="007735CD">
        <w:t>A lack of dedicated resources/constraints related to funding dependencies</w:t>
      </w:r>
      <w:bookmarkEnd w:id="69"/>
      <w:r w:rsidRPr="007735CD">
        <w:t xml:space="preserve"> </w:t>
      </w:r>
    </w:p>
    <w:p w14:paraId="76D8A8C9" w14:textId="3EF24483" w:rsidR="007735CD" w:rsidRPr="007735CD" w:rsidRDefault="007735CD" w:rsidP="007735CD">
      <w:pPr>
        <w:spacing w:line="240" w:lineRule="auto"/>
      </w:pPr>
      <w:r w:rsidRPr="007735CD">
        <w:t xml:space="preserve">The absence or limited nature of dedicated resources available to the sector to undertake social justice advocacy work is a challenge particularly as policy influencers and makers </w:t>
      </w:r>
      <w:r w:rsidR="00B5043B">
        <w:t xml:space="preserve">with limited resources at their disposal </w:t>
      </w:r>
      <w:r w:rsidR="00540880">
        <w:t xml:space="preserve">look to </w:t>
      </w:r>
      <w:r w:rsidRPr="007735CD">
        <w:t>social justice advocacy organisations to provide/collect hard evidence and relevant contemporary data in order to support the cases they make</w:t>
      </w:r>
      <w:r w:rsidR="00B5043B">
        <w:t xml:space="preserve"> (Walsh </w:t>
      </w:r>
      <w:r w:rsidR="00B5043B" w:rsidRPr="00B5043B">
        <w:rPr>
          <w:i/>
        </w:rPr>
        <w:t>et a</w:t>
      </w:r>
      <w:r w:rsidR="00B5043B" w:rsidRPr="00654A4C">
        <w:rPr>
          <w:i/>
        </w:rPr>
        <w:t>l</w:t>
      </w:r>
      <w:r w:rsidR="00B5043B">
        <w:t>, 2013, p 20)</w:t>
      </w:r>
      <w:r w:rsidRPr="007735CD">
        <w:t xml:space="preserve">. </w:t>
      </w:r>
      <w:r w:rsidR="009E5A21">
        <w:t xml:space="preserve"> </w:t>
      </w:r>
    </w:p>
    <w:p w14:paraId="70D00B92" w14:textId="345A94E7" w:rsidR="007735CD" w:rsidRPr="007735CD" w:rsidRDefault="007735CD" w:rsidP="007735CD">
      <w:pPr>
        <w:spacing w:line="240" w:lineRule="auto"/>
      </w:pPr>
      <w:r w:rsidRPr="007735CD">
        <w:t>The fact that many community and voluntary organisations are in receipt of state support for at least  part of their work can make it more challenging and in some instances can impose a range of constraints (perceived and actual) and prohibitions on community and voluntary sector engagement in public policy critique. The 2014 Harvey Funding Study identified the two key instruments that facilitate the state inhibition of advocacy as the informal ‘services-only’ paradigm, whereby organi</w:t>
      </w:r>
      <w:r w:rsidR="00FA32B8">
        <w:t>s</w:t>
      </w:r>
      <w:r w:rsidRPr="007735CD">
        <w:t>ations may only use state funding for providing ‘services’; and clause §2.8 of the Service Level Agreement (SLA) of the Health Service Executive which prohibits the use of funding for any attempt at persuasion in matters of policy or practice. This challenge of being both an insider and an outsider capable of robust critique is a significant one for many community and voluntary organisations</w:t>
      </w:r>
      <w:r w:rsidR="00A9696C">
        <w:t xml:space="preserve"> </w:t>
      </w:r>
      <w:r w:rsidR="00B5043B">
        <w:t xml:space="preserve">which was also recognised within our Perceptions Study (Walsh </w:t>
      </w:r>
      <w:r w:rsidR="00B5043B" w:rsidRPr="00B5043B">
        <w:rPr>
          <w:i/>
        </w:rPr>
        <w:t>et al</w:t>
      </w:r>
      <w:r w:rsidR="00B5043B">
        <w:t>, 2013, p 52).</w:t>
      </w:r>
    </w:p>
    <w:p w14:paraId="03468BCB" w14:textId="644BE395" w:rsidR="007735CD" w:rsidRPr="007735CD" w:rsidRDefault="006D4BAC" w:rsidP="00ED47A2">
      <w:pPr>
        <w:pStyle w:val="Heading3"/>
      </w:pPr>
      <w:bookmarkStart w:id="70" w:name="_Toc394492971"/>
      <w:r>
        <w:t>D</w:t>
      </w:r>
      <w:r w:rsidR="007735CD" w:rsidRPr="007735CD">
        <w:t>edicate resources to relationship building with policy</w:t>
      </w:r>
      <w:r w:rsidR="00FA32B8">
        <w:t>-</w:t>
      </w:r>
      <w:r w:rsidR="007735CD" w:rsidRPr="007735CD">
        <w:t>makers</w:t>
      </w:r>
      <w:bookmarkEnd w:id="70"/>
      <w:r w:rsidR="007735CD" w:rsidRPr="007735CD">
        <w:t xml:space="preserve"> </w:t>
      </w:r>
    </w:p>
    <w:p w14:paraId="61817FC8" w14:textId="6EAAC52E" w:rsidR="00D478FB" w:rsidRDefault="007735CD" w:rsidP="007735CD">
      <w:pPr>
        <w:spacing w:line="240" w:lineRule="auto"/>
      </w:pPr>
      <w:r w:rsidRPr="007735CD">
        <w:t>Making time to get to know and build trust and relationships with policy</w:t>
      </w:r>
      <w:r w:rsidR="00FA32B8">
        <w:t>-</w:t>
      </w:r>
      <w:r w:rsidRPr="007735CD">
        <w:t xml:space="preserve">makers and influencers </w:t>
      </w:r>
      <w:r w:rsidR="00C72400">
        <w:t>was recognised as</w:t>
      </w:r>
      <w:r w:rsidRPr="007735CD">
        <w:t xml:space="preserve"> critical </w:t>
      </w:r>
      <w:r w:rsidR="00C72400">
        <w:t xml:space="preserve">(by the community and voluntary sector, the media and trade unions) </w:t>
      </w:r>
      <w:r w:rsidRPr="007735CD">
        <w:t>in terms of raising credibility of the individual, the organisation and their agenda for change.  This should be done in an energetic and constructive way with follow up as necessary.</w:t>
      </w:r>
      <w:r w:rsidR="00A9696C">
        <w:t xml:space="preserve">  </w:t>
      </w:r>
      <w:r w:rsidR="00777164">
        <w:t xml:space="preserve">This relationship building is particularly challenging </w:t>
      </w:r>
      <w:r w:rsidR="00D478FB">
        <w:t>in the current climate where:</w:t>
      </w:r>
    </w:p>
    <w:p w14:paraId="3E20D95B" w14:textId="7D73564C" w:rsidR="00D478FB" w:rsidRDefault="00D478FB" w:rsidP="007C0CDD">
      <w:pPr>
        <w:pStyle w:val="ListParagraph"/>
        <w:numPr>
          <w:ilvl w:val="0"/>
          <w:numId w:val="25"/>
        </w:numPr>
        <w:spacing w:line="240" w:lineRule="auto"/>
      </w:pPr>
      <w:r>
        <w:t>O</w:t>
      </w:r>
      <w:r w:rsidR="00777164">
        <w:t>rganisations act as independent voices critiquing the system.</w:t>
      </w:r>
    </w:p>
    <w:p w14:paraId="20AF5AAE" w14:textId="4EAF124C" w:rsidR="00D478FB" w:rsidRDefault="00D478FB" w:rsidP="007C0CDD">
      <w:pPr>
        <w:pStyle w:val="ListParagraph"/>
        <w:numPr>
          <w:ilvl w:val="0"/>
          <w:numId w:val="25"/>
        </w:numPr>
        <w:spacing w:line="240" w:lineRule="auto"/>
      </w:pPr>
      <w:r>
        <w:t>There are increasing constraints on the public sector</w:t>
      </w:r>
      <w:r w:rsidR="00CD79EE">
        <w:t>.</w:t>
      </w:r>
    </w:p>
    <w:p w14:paraId="3CB7BE3E" w14:textId="5EE95DE7" w:rsidR="007735CD" w:rsidRDefault="00D478FB" w:rsidP="007C0CDD">
      <w:pPr>
        <w:pStyle w:val="ListParagraph"/>
        <w:numPr>
          <w:ilvl w:val="0"/>
          <w:numId w:val="25"/>
        </w:numPr>
        <w:spacing w:line="240" w:lineRule="auto"/>
      </w:pPr>
      <w:r>
        <w:t>Reduced opportunities to meet with and build relations.</w:t>
      </w:r>
    </w:p>
    <w:p w14:paraId="51E55980" w14:textId="77777777" w:rsidR="007735CD" w:rsidRPr="007735CD" w:rsidRDefault="007735CD" w:rsidP="00ED47A2">
      <w:pPr>
        <w:pStyle w:val="Heading3"/>
      </w:pPr>
      <w:bookmarkStart w:id="71" w:name="_Toc394492972"/>
      <w:r w:rsidRPr="007735CD">
        <w:t>Address issues related to legitimacy, representativeness and credibility – Ensure authenticity</w:t>
      </w:r>
      <w:bookmarkEnd w:id="71"/>
    </w:p>
    <w:p w14:paraId="66A7528C" w14:textId="285B5E63" w:rsidR="007735CD" w:rsidRPr="007735CD" w:rsidRDefault="007735CD" w:rsidP="007735CD">
      <w:pPr>
        <w:spacing w:line="240" w:lineRule="auto"/>
      </w:pPr>
      <w:r w:rsidRPr="007735CD">
        <w:t>In order to be taken seriously particularly by policy</w:t>
      </w:r>
      <w:r w:rsidR="00FA32B8">
        <w:t>-</w:t>
      </w:r>
      <w:r w:rsidRPr="007735CD">
        <w:t>makers (including politicians and civil servants) community and voluntary sector organisations involved in social justice advocacy need a clear mandate</w:t>
      </w:r>
      <w:r w:rsidR="000A1B73">
        <w:t>/connection to</w:t>
      </w:r>
      <w:r w:rsidRPr="007735CD">
        <w:t xml:space="preserve"> the group/s they represent. This mandate is linked to the strength of the connectedness of the organisation to the groups they represent.  </w:t>
      </w:r>
    </w:p>
    <w:p w14:paraId="460C3B58" w14:textId="5440CC5D" w:rsidR="005A1470" w:rsidRDefault="007735CD" w:rsidP="007735CD">
      <w:pPr>
        <w:autoSpaceDE w:val="0"/>
        <w:autoSpaceDN w:val="0"/>
        <w:adjustRightInd w:val="0"/>
        <w:spacing w:after="0" w:line="240" w:lineRule="auto"/>
      </w:pPr>
      <w:r w:rsidRPr="007735CD">
        <w:lastRenderedPageBreak/>
        <w:t>Ideally this needs to be an ongoing and two</w:t>
      </w:r>
      <w:r w:rsidR="00FA32B8">
        <w:t>-</w:t>
      </w:r>
      <w:r w:rsidRPr="007735CD">
        <w:t>way process where the organisation’s agenda is set by the group</w:t>
      </w:r>
      <w:r w:rsidR="00CD79EE">
        <w:t>(</w:t>
      </w:r>
      <w:r w:rsidRPr="007735CD">
        <w:t>s</w:t>
      </w:r>
      <w:r w:rsidR="00CD79EE">
        <w:t>)</w:t>
      </w:r>
      <w:r w:rsidRPr="007735CD">
        <w:t xml:space="preserve"> it represents, and the organisation in turn relays information back to its support base in order to support participation, empowerment and mobilisation of those most affected by the issues. Participation is indeed a key requirement of social justice advocacy to be fully effective it needs to be substantially resourced and not tokenistic. </w:t>
      </w:r>
    </w:p>
    <w:p w14:paraId="7D51332F" w14:textId="77777777" w:rsidR="005A1470" w:rsidRDefault="005A1470" w:rsidP="007735CD">
      <w:pPr>
        <w:autoSpaceDE w:val="0"/>
        <w:autoSpaceDN w:val="0"/>
        <w:adjustRightInd w:val="0"/>
        <w:spacing w:after="0" w:line="240" w:lineRule="auto"/>
      </w:pPr>
    </w:p>
    <w:p w14:paraId="3C16B6E7" w14:textId="494486EA" w:rsidR="007735CD" w:rsidRDefault="007735CD" w:rsidP="007735CD">
      <w:pPr>
        <w:autoSpaceDE w:val="0"/>
        <w:autoSpaceDN w:val="0"/>
        <w:adjustRightInd w:val="0"/>
        <w:spacing w:after="0" w:line="240" w:lineRule="auto"/>
      </w:pPr>
      <w:r w:rsidRPr="007735CD">
        <w:t>Organisations need to recognise that a lack of participation of those experiencing the issues they represent can seriously undermine their work</w:t>
      </w:r>
      <w:r w:rsidR="00D478FB">
        <w:t xml:space="preserve">. </w:t>
      </w:r>
      <w:r w:rsidR="000A1B73">
        <w:t xml:space="preserve"> </w:t>
      </w:r>
      <w:r w:rsidR="00D478FB">
        <w:t>G</w:t>
      </w:r>
      <w:r w:rsidR="000A1B73">
        <w:t xml:space="preserve">etting individuals and groups who are excluded to become involved can </w:t>
      </w:r>
      <w:r w:rsidR="00D478FB">
        <w:t xml:space="preserve">also </w:t>
      </w:r>
      <w:r w:rsidR="000A1B73">
        <w:t xml:space="preserve">be a </w:t>
      </w:r>
      <w:r w:rsidR="00D478FB">
        <w:t xml:space="preserve">very </w:t>
      </w:r>
      <w:r w:rsidR="000A1B73">
        <w:t xml:space="preserve">significant challenge. </w:t>
      </w:r>
      <w:r w:rsidRPr="007735CD">
        <w:rPr>
          <w:rFonts w:cs="Graphik-Regular"/>
        </w:rPr>
        <w:t xml:space="preserve">Encouraging the emergence of new spokespeople to represent the views of </w:t>
      </w:r>
      <w:r w:rsidR="00777164">
        <w:rPr>
          <w:rFonts w:cs="Graphik-Regular"/>
        </w:rPr>
        <w:t xml:space="preserve">an </w:t>
      </w:r>
      <w:r w:rsidRPr="007735CD">
        <w:rPr>
          <w:rFonts w:cs="Graphik-Regular"/>
        </w:rPr>
        <w:t xml:space="preserve">organisation can be one way of doing this. </w:t>
      </w:r>
      <w:r w:rsidRPr="007735CD">
        <w:t>There is also a challenge in relation to maintaining the connection between those representing or leading an organisation and those who the organisation represents.</w:t>
      </w:r>
    </w:p>
    <w:p w14:paraId="2F2584DE" w14:textId="77777777" w:rsidR="005A1470" w:rsidRDefault="005A1470" w:rsidP="007735CD">
      <w:pPr>
        <w:autoSpaceDE w:val="0"/>
        <w:autoSpaceDN w:val="0"/>
        <w:adjustRightInd w:val="0"/>
        <w:spacing w:after="0" w:line="240" w:lineRule="auto"/>
      </w:pPr>
    </w:p>
    <w:p w14:paraId="27590B63" w14:textId="61E48537" w:rsidR="005A1470" w:rsidRPr="007735CD" w:rsidRDefault="005A1470" w:rsidP="007735CD">
      <w:pPr>
        <w:autoSpaceDE w:val="0"/>
        <w:autoSpaceDN w:val="0"/>
        <w:adjustRightInd w:val="0"/>
        <w:spacing w:after="0" w:line="240" w:lineRule="auto"/>
        <w:rPr>
          <w:rFonts w:cs="Graphik-Regular"/>
        </w:rPr>
      </w:pPr>
      <w:r>
        <w:t xml:space="preserve">The recent media coverage of the controversy </w:t>
      </w:r>
      <w:r w:rsidR="00781F63">
        <w:t xml:space="preserve">over the </w:t>
      </w:r>
      <w:r>
        <w:t xml:space="preserve">remuneration </w:t>
      </w:r>
      <w:r w:rsidR="00781F63">
        <w:t xml:space="preserve">packages provided to senior staff in </w:t>
      </w:r>
      <w:r>
        <w:t>REHAB and CRC</w:t>
      </w:r>
      <w:r w:rsidR="00781F63">
        <w:t xml:space="preserve"> also raises challenges for the sector in terms of the credibility the sector and calls for greater transparency in relation to levels of pay and funding sources.  This need for greater levels of transparency and openness is something the sector needs to address as a collective and at the level of individual organisations.</w:t>
      </w:r>
    </w:p>
    <w:p w14:paraId="4E66C15D" w14:textId="77777777" w:rsidR="006D4BAC" w:rsidRDefault="006D4BAC" w:rsidP="007735CD">
      <w:pPr>
        <w:spacing w:line="240" w:lineRule="auto"/>
        <w:rPr>
          <w:color w:val="7030A0"/>
        </w:rPr>
      </w:pPr>
    </w:p>
    <w:p w14:paraId="4025E91A" w14:textId="77777777" w:rsidR="007735CD" w:rsidRPr="007735CD" w:rsidRDefault="007735CD" w:rsidP="00ED47A2">
      <w:pPr>
        <w:pStyle w:val="Heading3"/>
      </w:pPr>
      <w:bookmarkStart w:id="72" w:name="_Toc394492973"/>
      <w:r w:rsidRPr="007735CD">
        <w:t>Enhance capacity to work with the system</w:t>
      </w:r>
      <w:bookmarkEnd w:id="72"/>
    </w:p>
    <w:p w14:paraId="096C5E98" w14:textId="2B1F2D23" w:rsidR="007735CD" w:rsidRPr="007735CD" w:rsidRDefault="007735CD" w:rsidP="007735CD">
      <w:pPr>
        <w:autoSpaceDE w:val="0"/>
        <w:autoSpaceDN w:val="0"/>
        <w:adjustRightInd w:val="0"/>
        <w:spacing w:after="0" w:line="240" w:lineRule="auto"/>
      </w:pPr>
      <w:r w:rsidRPr="007735CD">
        <w:t xml:space="preserve">Policy and decision making processes at all levels are complex.  Those seeking to engage and work with that system clearly need to understand it. There was a view that community and voluntary sector organisations engaging in social justice advocacy are not always clear about how the system works.  The challenge is therefore for the sector to build its capacity and the capacity of individual organisation and coalitions to better understand and ultimately engage with the system and build relationships with those working in the system, with considerable scope for the application and use of international and EU tools. </w:t>
      </w:r>
    </w:p>
    <w:p w14:paraId="1D75A006" w14:textId="77777777" w:rsidR="007735CD" w:rsidRPr="007735CD" w:rsidRDefault="007735CD" w:rsidP="007735CD">
      <w:pPr>
        <w:autoSpaceDE w:val="0"/>
        <w:autoSpaceDN w:val="0"/>
        <w:adjustRightInd w:val="0"/>
        <w:spacing w:after="0" w:line="240" w:lineRule="auto"/>
      </w:pPr>
    </w:p>
    <w:p w14:paraId="4488BF80" w14:textId="77777777" w:rsidR="007735CD" w:rsidRPr="007735CD" w:rsidRDefault="007735CD" w:rsidP="007735CD">
      <w:pPr>
        <w:autoSpaceDE w:val="0"/>
        <w:autoSpaceDN w:val="0"/>
        <w:adjustRightInd w:val="0"/>
        <w:spacing w:after="0" w:line="240" w:lineRule="auto"/>
        <w:rPr>
          <w:rFonts w:cs="Graphik-Regular"/>
          <w:color w:val="000000"/>
        </w:rPr>
      </w:pPr>
      <w:r w:rsidRPr="007735CD">
        <w:t>Building a strong evidence base (that recognises the complexity of the issues) to support the direction of the changes sought is also very useful in this context. This can be done by</w:t>
      </w:r>
      <w:r w:rsidRPr="007735CD">
        <w:rPr>
          <w:rFonts w:cs="Graphik-Regular"/>
          <w:color w:val="FF408A"/>
        </w:rPr>
        <w:t xml:space="preserve"> </w:t>
      </w:r>
      <w:r w:rsidRPr="007735CD">
        <w:rPr>
          <w:rFonts w:cs="Graphik-Regular"/>
          <w:color w:val="000000"/>
        </w:rPr>
        <w:t>undertaking focused research (which gets to the heart of the issues) providing the evidence necessary to make the case for key policy changes.</w:t>
      </w:r>
    </w:p>
    <w:p w14:paraId="4D27699D" w14:textId="77777777" w:rsidR="007735CD" w:rsidRPr="007735CD" w:rsidRDefault="007735CD" w:rsidP="007735CD">
      <w:pPr>
        <w:spacing w:line="240" w:lineRule="auto"/>
      </w:pPr>
    </w:p>
    <w:p w14:paraId="7C0B9D40" w14:textId="0972F14C" w:rsidR="007735CD" w:rsidRPr="007735CD" w:rsidRDefault="007735CD" w:rsidP="00ED47A2">
      <w:pPr>
        <w:pStyle w:val="Heading3"/>
      </w:pPr>
      <w:bookmarkStart w:id="73" w:name="_Toc394492974"/>
      <w:r w:rsidRPr="007735CD">
        <w:t>Challenge perception</w:t>
      </w:r>
      <w:r w:rsidR="006D4BAC">
        <w:t>s of self-interest through self-</w:t>
      </w:r>
      <w:r w:rsidRPr="007735CD">
        <w:t>reflection</w:t>
      </w:r>
      <w:bookmarkEnd w:id="73"/>
    </w:p>
    <w:p w14:paraId="649C8BB2" w14:textId="199F9E05" w:rsidR="007735CD" w:rsidRPr="007735CD" w:rsidRDefault="007735CD" w:rsidP="007735CD">
      <w:pPr>
        <w:spacing w:line="240" w:lineRule="auto"/>
        <w:jc w:val="both"/>
      </w:pPr>
      <w:r w:rsidRPr="007735CD">
        <w:t>Community and voluntary organis</w:t>
      </w:r>
      <w:r w:rsidR="006D4BAC">
        <w:t>a</w:t>
      </w:r>
      <w:r w:rsidRPr="007735CD">
        <w:t xml:space="preserve">tions engaged in social justice advocacy work need to find ways to challenge the view that they are motivated more by an interest in sustaining the organisation/their jobs, rather than the interests of the groups they represent.  One way for the sector to do this is by engaging in more honest reflection, which openly acknowledges the tension between being funded by the state and engaging in social justice advocacy. Other difficult issues that were identified through a process of self-reflection by the Steering </w:t>
      </w:r>
      <w:r w:rsidR="002A69EC">
        <w:t xml:space="preserve">Committee </w:t>
      </w:r>
      <w:r w:rsidRPr="007735CD">
        <w:t>that the wider sector could also clearly benefit from greater level of reflection on include: competition for resources, access and profile; the compatibility of frameworks, value bases and approaches used by different organisations; the challenge of living the values and meeting expectations; lack of effectiveness, innovation, creativity and staff turnover as well as salary and status inflation.</w:t>
      </w:r>
    </w:p>
    <w:p w14:paraId="1FA557FB" w14:textId="77777777" w:rsidR="007735CD" w:rsidRPr="007735CD" w:rsidRDefault="007735CD" w:rsidP="00ED47A2">
      <w:pPr>
        <w:pStyle w:val="Heading3"/>
      </w:pPr>
      <w:bookmarkStart w:id="74" w:name="_Toc394492975"/>
      <w:r w:rsidRPr="007735CD">
        <w:t>Be positive, be persistent and monitor change</w:t>
      </w:r>
      <w:bookmarkEnd w:id="74"/>
    </w:p>
    <w:p w14:paraId="75C51B43" w14:textId="67CCF666" w:rsidR="003E5462" w:rsidRDefault="007735CD" w:rsidP="007735CD">
      <w:pPr>
        <w:spacing w:line="240" w:lineRule="auto"/>
      </w:pPr>
      <w:r w:rsidRPr="007735CD">
        <w:lastRenderedPageBreak/>
        <w:t>The community and voluntary sectors social justice advocacy work and indeed some social justice advocates have been described by some commentators as being overly negative</w:t>
      </w:r>
      <w:r w:rsidR="00D478FB">
        <w:t xml:space="preserve"> and not ambitious enough, having become caught up in a narrative of the challenges it faces</w:t>
      </w:r>
      <w:r w:rsidRPr="007735CD">
        <w:t xml:space="preserve">.  </w:t>
      </w:r>
      <w:r w:rsidR="003E5462">
        <w:t>Where this is the case the sector needs to find ways to regain its confidence and ambition and transform the challenges into opportunities.</w:t>
      </w:r>
    </w:p>
    <w:p w14:paraId="252D097C" w14:textId="25B3DA4B" w:rsidR="007735CD" w:rsidRPr="007735CD" w:rsidRDefault="007735CD" w:rsidP="007735CD">
      <w:pPr>
        <w:spacing w:line="240" w:lineRule="auto"/>
      </w:pPr>
      <w:r w:rsidRPr="007735CD">
        <w:t xml:space="preserve">The sector has also been charged with having unrealistic expectations. The sector needs to find ways </w:t>
      </w:r>
      <w:r w:rsidR="000A1B73">
        <w:t xml:space="preserve">to a) reflect on the extent to which these commentaries are valid, b) where they are valid address them and c) where they are not valid find ways </w:t>
      </w:r>
      <w:r w:rsidRPr="007735CD">
        <w:t xml:space="preserve">to challenge these perceptions in order to be taken seriously.  </w:t>
      </w:r>
    </w:p>
    <w:p w14:paraId="4D9A0CE5" w14:textId="45686991" w:rsidR="00B60F2B" w:rsidRPr="007735CD" w:rsidRDefault="007735CD" w:rsidP="00B60F2B">
      <w:pPr>
        <w:spacing w:line="240" w:lineRule="auto"/>
      </w:pPr>
      <w:r w:rsidRPr="007735CD">
        <w:t>Vision, focus (on a small number of key priority areas)</w:t>
      </w:r>
      <w:r w:rsidR="00CD79EE">
        <w:t>,</w:t>
      </w:r>
      <w:r w:rsidRPr="007735CD">
        <w:t xml:space="preserve"> planning and persistence are all key attributes for organisations and individuals engaged in social justice advocacy work where change can be slow. Monitoring and evaluation are also important in relation to demonstrating and learning in relation to where change has been/has not been levered. It is also the case that where positive changes have </w:t>
      </w:r>
      <w:r w:rsidR="00CD79EE">
        <w:t xml:space="preserve">been </w:t>
      </w:r>
      <w:r w:rsidRPr="007735CD">
        <w:t>won these should be recognised and welcomed, even where there is more to be done.</w:t>
      </w:r>
      <w:r w:rsidR="00B60F2B">
        <w:t xml:space="preserve"> </w:t>
      </w:r>
    </w:p>
    <w:p w14:paraId="71198E99" w14:textId="77777777" w:rsidR="007735CD" w:rsidRPr="007735CD" w:rsidRDefault="007735CD" w:rsidP="00ED47A2">
      <w:pPr>
        <w:pStyle w:val="Heading3"/>
      </w:pPr>
      <w:bookmarkStart w:id="75" w:name="_Toc394492976"/>
      <w:r w:rsidRPr="007735CD">
        <w:t>Engage in collaboration and build strategic alliances</w:t>
      </w:r>
      <w:bookmarkEnd w:id="75"/>
    </w:p>
    <w:p w14:paraId="7C808787" w14:textId="29ACB4D3" w:rsidR="007735CD" w:rsidRPr="007735CD" w:rsidRDefault="007735CD" w:rsidP="007735CD">
      <w:pPr>
        <w:autoSpaceDE w:val="0"/>
        <w:autoSpaceDN w:val="0"/>
        <w:adjustRightInd w:val="0"/>
        <w:spacing w:after="0" w:line="240" w:lineRule="auto"/>
      </w:pPr>
      <w:r w:rsidRPr="007735CD">
        <w:t>Where relevant (i.e. there is a shared a</w:t>
      </w:r>
      <w:r w:rsidR="00A9696C">
        <w:t>genda</w:t>
      </w:r>
      <w:r w:rsidRPr="007735CD">
        <w:t xml:space="preserve"> around a particular topic) there can be a value in organisations (community and voluntary and others) coming together to build formal and informal collaborations and alliances to lend weight to arguments, to develop shared compromise solutions and to seek positive change in relation key policy objectives.  These kinds of alliances are also useful for policy makers as they make it easier in terms of the number of groups they have to meet to get a view from the ground.</w:t>
      </w:r>
    </w:p>
    <w:p w14:paraId="1B7DDC24" w14:textId="77777777" w:rsidR="006D4BAC" w:rsidRDefault="006D4BAC" w:rsidP="007735CD">
      <w:pPr>
        <w:spacing w:line="240" w:lineRule="auto"/>
        <w:rPr>
          <w:color w:val="7030A0"/>
        </w:rPr>
      </w:pPr>
    </w:p>
    <w:p w14:paraId="41C1F92B" w14:textId="77777777" w:rsidR="007735CD" w:rsidRPr="007735CD" w:rsidRDefault="007735CD" w:rsidP="00ED47A2">
      <w:pPr>
        <w:pStyle w:val="Heading3"/>
      </w:pPr>
      <w:bookmarkStart w:id="76" w:name="_Toc394492977"/>
      <w:r w:rsidRPr="007735CD">
        <w:t>Be innovative in terms of the advocacy techniques used</w:t>
      </w:r>
      <w:bookmarkEnd w:id="76"/>
      <w:r w:rsidRPr="007735CD">
        <w:t xml:space="preserve"> </w:t>
      </w:r>
    </w:p>
    <w:p w14:paraId="4980CA6D" w14:textId="46731F01" w:rsidR="007735CD" w:rsidRPr="007735CD" w:rsidRDefault="007735CD" w:rsidP="007735CD">
      <w:pPr>
        <w:autoSpaceDE w:val="0"/>
        <w:autoSpaceDN w:val="0"/>
        <w:adjustRightInd w:val="0"/>
        <w:spacing w:after="0" w:line="240" w:lineRule="auto"/>
      </w:pPr>
      <w:r w:rsidRPr="007735CD">
        <w:t>Community and voluntary sector organisations need to be flexible and adopt more innovative approaches to influencing policy both within and outside the system.  Organis</w:t>
      </w:r>
      <w:r w:rsidR="006D4BAC">
        <w:t>a</w:t>
      </w:r>
      <w:r w:rsidRPr="007735CD">
        <w:t xml:space="preserve">tions also need to be able to respond quickly to unforeseen opportunities. </w:t>
      </w:r>
    </w:p>
    <w:p w14:paraId="6CE28F56" w14:textId="77777777" w:rsidR="007735CD" w:rsidRDefault="007735CD" w:rsidP="007735CD">
      <w:pPr>
        <w:spacing w:line="240" w:lineRule="auto"/>
      </w:pPr>
    </w:p>
    <w:p w14:paraId="3BF4D906" w14:textId="21127FC7" w:rsidR="008D6ED4" w:rsidRPr="008D6ED4" w:rsidRDefault="007735CD" w:rsidP="00ED47A2">
      <w:pPr>
        <w:pStyle w:val="Heading2"/>
      </w:pPr>
      <w:bookmarkStart w:id="77" w:name="_Toc394492978"/>
      <w:bookmarkStart w:id="78" w:name="_Toc394493499"/>
      <w:r w:rsidRPr="007735CD">
        <w:t xml:space="preserve">4.6 </w:t>
      </w:r>
      <w:r w:rsidRPr="007735CD">
        <w:tab/>
      </w:r>
      <w:r w:rsidR="005B2339">
        <w:t>The role of policy makers in m</w:t>
      </w:r>
      <w:r w:rsidR="0013582C">
        <w:t xml:space="preserve">aximising the impact of </w:t>
      </w:r>
      <w:r w:rsidR="003E705F">
        <w:t xml:space="preserve">social justice advocacy </w:t>
      </w:r>
      <w:r w:rsidR="008D6ED4" w:rsidRPr="008D6ED4">
        <w:t>work</w:t>
      </w:r>
      <w:bookmarkEnd w:id="77"/>
      <w:bookmarkEnd w:id="78"/>
    </w:p>
    <w:p w14:paraId="3B368CDA" w14:textId="1E9F6365" w:rsidR="007735CD" w:rsidRPr="007735CD" w:rsidRDefault="004311BF" w:rsidP="007735CD">
      <w:pPr>
        <w:spacing w:line="240" w:lineRule="auto"/>
      </w:pPr>
      <w:r>
        <w:t xml:space="preserve">Getting more from community and voluntary sector </w:t>
      </w:r>
      <w:r w:rsidR="007735CD" w:rsidRPr="007735CD">
        <w:t xml:space="preserve">social justice advocacy </w:t>
      </w:r>
      <w:r w:rsidR="00792EE7">
        <w:t xml:space="preserve">work </w:t>
      </w:r>
      <w:r>
        <w:t xml:space="preserve">not only requires </w:t>
      </w:r>
      <w:r w:rsidR="007735CD" w:rsidRPr="007735CD">
        <w:t xml:space="preserve">changes </w:t>
      </w:r>
      <w:r>
        <w:t xml:space="preserve">within the  sector it also requires changes </w:t>
      </w:r>
      <w:r w:rsidR="007735CD" w:rsidRPr="007735CD">
        <w:t>at the levels of policy</w:t>
      </w:r>
      <w:r w:rsidR="0060372B">
        <w:t>-</w:t>
      </w:r>
      <w:r w:rsidR="007735CD" w:rsidRPr="007735CD">
        <w:t xml:space="preserve"> makers and influencers. Among the changes identified as required at this level by </w:t>
      </w:r>
      <w:r w:rsidR="0060372B">
        <w:t>T</w:t>
      </w:r>
      <w:r w:rsidR="007735CD" w:rsidRPr="007735CD">
        <w:t xml:space="preserve">he Advocacy Initiative include: </w:t>
      </w:r>
    </w:p>
    <w:p w14:paraId="36C66096" w14:textId="508E496D" w:rsidR="007735CD" w:rsidRPr="007735CD" w:rsidRDefault="007735CD" w:rsidP="007C0CDD">
      <w:pPr>
        <w:numPr>
          <w:ilvl w:val="0"/>
          <w:numId w:val="12"/>
        </w:numPr>
        <w:spacing w:after="0" w:line="240" w:lineRule="auto"/>
        <w:contextualSpacing/>
        <w:jc w:val="both"/>
        <w:rPr>
          <w:lang w:val="en-US"/>
        </w:rPr>
      </w:pPr>
      <w:r w:rsidRPr="007735CD">
        <w:rPr>
          <w:lang w:val="en-US"/>
        </w:rPr>
        <w:t xml:space="preserve">A recognition that there are significant differences in sympathy levels for the different groups on whose behalf the sector advocates, making some groups easier to advocate </w:t>
      </w:r>
      <w:r w:rsidR="00A9696C">
        <w:rPr>
          <w:lang w:val="en-US"/>
        </w:rPr>
        <w:t xml:space="preserve">for </w:t>
      </w:r>
      <w:r w:rsidRPr="007735CD">
        <w:rPr>
          <w:lang w:val="en-US"/>
        </w:rPr>
        <w:t>than others and ensuring that community and voluntary organisations that advocate for particular groups will receive more popular support and find i</w:t>
      </w:r>
      <w:r w:rsidR="00B60F2B">
        <w:rPr>
          <w:lang w:val="en-US"/>
        </w:rPr>
        <w:t>t</w:t>
      </w:r>
      <w:r w:rsidRPr="007735CD">
        <w:rPr>
          <w:lang w:val="en-US"/>
        </w:rPr>
        <w:t xml:space="preserve"> easier to fundraise than others might. </w:t>
      </w:r>
    </w:p>
    <w:p w14:paraId="737428B7" w14:textId="77777777" w:rsidR="007735CD" w:rsidRPr="007735CD" w:rsidRDefault="007735CD" w:rsidP="007735CD">
      <w:pPr>
        <w:spacing w:after="0" w:line="240" w:lineRule="auto"/>
        <w:ind w:left="720"/>
        <w:contextualSpacing/>
        <w:jc w:val="both"/>
        <w:rPr>
          <w:lang w:val="en-US"/>
        </w:rPr>
      </w:pPr>
    </w:p>
    <w:p w14:paraId="4A4AE699" w14:textId="63B4DF13" w:rsidR="007735CD" w:rsidRPr="007735CD" w:rsidRDefault="007735CD" w:rsidP="007C0CDD">
      <w:pPr>
        <w:numPr>
          <w:ilvl w:val="0"/>
          <w:numId w:val="12"/>
        </w:numPr>
        <w:spacing w:after="0" w:line="240" w:lineRule="auto"/>
        <w:contextualSpacing/>
        <w:jc w:val="both"/>
        <w:rPr>
          <w:lang w:val="en-US"/>
        </w:rPr>
      </w:pPr>
      <w:r w:rsidRPr="007735CD">
        <w:rPr>
          <w:lang w:val="en-US"/>
        </w:rPr>
        <w:t>Valuing and recogni</w:t>
      </w:r>
      <w:r w:rsidR="0060372B">
        <w:rPr>
          <w:lang w:val="en-US"/>
        </w:rPr>
        <w:t>s</w:t>
      </w:r>
      <w:r w:rsidRPr="007735CD">
        <w:rPr>
          <w:lang w:val="en-US"/>
        </w:rPr>
        <w:t xml:space="preserve">ing the potential of community and voluntary sector advocacy work to bring specialized knowledge and expertise to the policy making and policy implementing processes because they are close to the ground and generally enjoy a level of trust by groups marginalised from decision making.  </w:t>
      </w:r>
    </w:p>
    <w:p w14:paraId="7F31F9B3" w14:textId="77777777" w:rsidR="007735CD" w:rsidRPr="007735CD" w:rsidRDefault="007735CD" w:rsidP="007C0CDD">
      <w:pPr>
        <w:numPr>
          <w:ilvl w:val="0"/>
          <w:numId w:val="12"/>
        </w:numPr>
        <w:spacing w:after="0" w:line="240" w:lineRule="auto"/>
        <w:contextualSpacing/>
        <w:jc w:val="both"/>
        <w:rPr>
          <w:lang w:val="en-US"/>
        </w:rPr>
      </w:pPr>
      <w:r w:rsidRPr="007735CD">
        <w:rPr>
          <w:lang w:val="en-US"/>
        </w:rPr>
        <w:lastRenderedPageBreak/>
        <w:t>Working to build trust and relationships with representatives from the community and voluntary sector in order to broaden their understanding of the advocacy role of the community and voluntary sector as not only a provider of information and research but also as:</w:t>
      </w:r>
    </w:p>
    <w:p w14:paraId="3B453ECA" w14:textId="2CDEBD63" w:rsidR="007735CD" w:rsidRPr="007735CD" w:rsidRDefault="007735CD" w:rsidP="007C0CDD">
      <w:pPr>
        <w:numPr>
          <w:ilvl w:val="0"/>
          <w:numId w:val="13"/>
        </w:numPr>
        <w:spacing w:after="0" w:line="240" w:lineRule="auto"/>
        <w:contextualSpacing/>
        <w:jc w:val="both"/>
        <w:rPr>
          <w:lang w:val="en-US"/>
        </w:rPr>
      </w:pPr>
      <w:r w:rsidRPr="007735CD">
        <w:rPr>
          <w:lang w:val="en-US"/>
        </w:rPr>
        <w:t>A challenger of current orthodoxies</w:t>
      </w:r>
    </w:p>
    <w:p w14:paraId="6A86A179" w14:textId="78143E80" w:rsidR="007735CD" w:rsidRPr="007735CD" w:rsidRDefault="007735CD" w:rsidP="007C0CDD">
      <w:pPr>
        <w:numPr>
          <w:ilvl w:val="0"/>
          <w:numId w:val="13"/>
        </w:numPr>
        <w:spacing w:after="0" w:line="240" w:lineRule="auto"/>
        <w:contextualSpacing/>
        <w:jc w:val="both"/>
        <w:rPr>
          <w:lang w:val="en-US"/>
        </w:rPr>
      </w:pPr>
      <w:r w:rsidRPr="007735CD">
        <w:rPr>
          <w:lang w:val="en-US"/>
        </w:rPr>
        <w:t>A source of solutions</w:t>
      </w:r>
    </w:p>
    <w:p w14:paraId="49ED93D8" w14:textId="3BAEB5E7" w:rsidR="007735CD" w:rsidRPr="007735CD" w:rsidRDefault="007735CD" w:rsidP="007C0CDD">
      <w:pPr>
        <w:numPr>
          <w:ilvl w:val="0"/>
          <w:numId w:val="13"/>
        </w:numPr>
        <w:spacing w:after="0" w:line="240" w:lineRule="auto"/>
        <w:contextualSpacing/>
        <w:jc w:val="both"/>
        <w:rPr>
          <w:lang w:val="en-US"/>
        </w:rPr>
      </w:pPr>
      <w:r w:rsidRPr="007735CD">
        <w:rPr>
          <w:lang w:val="en-US"/>
        </w:rPr>
        <w:t xml:space="preserve">A mechanism for mobilizing support for change within and outside the political system, including the media </w:t>
      </w:r>
    </w:p>
    <w:p w14:paraId="50F65393" w14:textId="38852D12" w:rsidR="007735CD" w:rsidRDefault="007735CD" w:rsidP="007C0CDD">
      <w:pPr>
        <w:numPr>
          <w:ilvl w:val="0"/>
          <w:numId w:val="13"/>
        </w:numPr>
        <w:spacing w:after="0" w:line="240" w:lineRule="auto"/>
        <w:contextualSpacing/>
        <w:jc w:val="both"/>
        <w:rPr>
          <w:lang w:val="en-US"/>
        </w:rPr>
      </w:pPr>
      <w:r w:rsidRPr="007735CD">
        <w:rPr>
          <w:lang w:val="en-US"/>
        </w:rPr>
        <w:t>A mechanism for empowering and developing the capacity of marginalised individuals and groups so that they can do their own advocacy</w:t>
      </w:r>
    </w:p>
    <w:p w14:paraId="5E905D08" w14:textId="77777777" w:rsidR="000A1B73" w:rsidRPr="007735CD" w:rsidRDefault="000A1B73" w:rsidP="000A1B73">
      <w:pPr>
        <w:spacing w:after="0" w:line="240" w:lineRule="auto"/>
        <w:ind w:left="1440"/>
        <w:contextualSpacing/>
        <w:jc w:val="both"/>
        <w:rPr>
          <w:lang w:val="en-US"/>
        </w:rPr>
      </w:pPr>
    </w:p>
    <w:p w14:paraId="14F110C9" w14:textId="338F263C" w:rsidR="007735CD" w:rsidRPr="007735CD" w:rsidRDefault="007735CD" w:rsidP="007C0CDD">
      <w:pPr>
        <w:numPr>
          <w:ilvl w:val="0"/>
          <w:numId w:val="10"/>
        </w:numPr>
        <w:autoSpaceDE w:val="0"/>
        <w:autoSpaceDN w:val="0"/>
        <w:adjustRightInd w:val="0"/>
        <w:spacing w:after="0" w:line="240" w:lineRule="auto"/>
        <w:contextualSpacing/>
        <w:jc w:val="both"/>
        <w:rPr>
          <w:rFonts w:cs="Graphik-Regular"/>
          <w:color w:val="000000"/>
          <w:lang w:val="en-US"/>
        </w:rPr>
      </w:pPr>
      <w:r w:rsidRPr="007735CD">
        <w:rPr>
          <w:rFonts w:cs="Graphik-Regular"/>
          <w:color w:val="000000"/>
          <w:lang w:val="en-US"/>
        </w:rPr>
        <w:t>Recognising and taking action to tackle the financial vulnerability (caused by structural and resourcing issues) of the sector through the application of multiannual funding initiatives and the removing the ‘services only’ and no advocacy clauses in contracts and agreements.  Funding should be prioritised for groups that can demonstrate good governance principles.</w:t>
      </w:r>
      <w:r w:rsidR="00B60F2B">
        <w:rPr>
          <w:rFonts w:cs="Graphik-Regular"/>
          <w:color w:val="000000"/>
          <w:lang w:val="en-US"/>
        </w:rPr>
        <w:t xml:space="preserve"> </w:t>
      </w:r>
    </w:p>
    <w:p w14:paraId="7F1DB573" w14:textId="77777777" w:rsidR="007735CD" w:rsidRPr="007735CD" w:rsidRDefault="007735CD" w:rsidP="007735CD">
      <w:pPr>
        <w:spacing w:after="0" w:line="240" w:lineRule="auto"/>
        <w:ind w:left="720"/>
        <w:contextualSpacing/>
        <w:jc w:val="both"/>
        <w:rPr>
          <w:lang w:val="en-US"/>
        </w:rPr>
      </w:pPr>
    </w:p>
    <w:p w14:paraId="31C6F317" w14:textId="681ED052" w:rsidR="007735CD" w:rsidRPr="007735CD" w:rsidRDefault="007735CD" w:rsidP="007C0CDD">
      <w:pPr>
        <w:numPr>
          <w:ilvl w:val="0"/>
          <w:numId w:val="10"/>
        </w:numPr>
        <w:autoSpaceDE w:val="0"/>
        <w:autoSpaceDN w:val="0"/>
        <w:adjustRightInd w:val="0"/>
        <w:spacing w:after="0" w:line="240" w:lineRule="auto"/>
        <w:contextualSpacing/>
        <w:jc w:val="both"/>
        <w:rPr>
          <w:rFonts w:cs="Graphik-Regular"/>
          <w:color w:val="000000"/>
          <w:lang w:val="en-US"/>
        </w:rPr>
      </w:pPr>
      <w:r w:rsidRPr="007735CD">
        <w:rPr>
          <w:rFonts w:cs="Graphik-Regular"/>
          <w:color w:val="000000"/>
          <w:lang w:val="en-US"/>
        </w:rPr>
        <w:t>Creating new spaces where policy makers and representatives from the community and voluntary sector can meet and engage in policy making processes in a post</w:t>
      </w:r>
      <w:r w:rsidR="0060372B">
        <w:rPr>
          <w:rFonts w:cs="Graphik-Regular"/>
          <w:color w:val="000000"/>
          <w:lang w:val="en-US"/>
        </w:rPr>
        <w:t>-</w:t>
      </w:r>
      <w:r w:rsidRPr="007735CD">
        <w:rPr>
          <w:rFonts w:cs="Graphik-Regular"/>
          <w:color w:val="000000"/>
          <w:lang w:val="en-US"/>
        </w:rPr>
        <w:t>partnership era.</w:t>
      </w:r>
    </w:p>
    <w:p w14:paraId="38688C01" w14:textId="77777777" w:rsidR="007735CD" w:rsidRPr="007735CD" w:rsidRDefault="007735CD" w:rsidP="007735CD">
      <w:pPr>
        <w:autoSpaceDE w:val="0"/>
        <w:autoSpaceDN w:val="0"/>
        <w:adjustRightInd w:val="0"/>
        <w:spacing w:after="0" w:line="240" w:lineRule="auto"/>
        <w:ind w:left="720"/>
        <w:contextualSpacing/>
        <w:jc w:val="both"/>
        <w:rPr>
          <w:rFonts w:cs="Graphik-Regular"/>
          <w:color w:val="000000"/>
          <w:lang w:val="en-US"/>
        </w:rPr>
      </w:pPr>
    </w:p>
    <w:p w14:paraId="1DCFC341" w14:textId="1FE170DE" w:rsidR="007735CD" w:rsidRPr="007735CD" w:rsidRDefault="00FC4CBE" w:rsidP="007C0CDD">
      <w:pPr>
        <w:numPr>
          <w:ilvl w:val="0"/>
          <w:numId w:val="10"/>
        </w:numPr>
        <w:autoSpaceDE w:val="0"/>
        <w:autoSpaceDN w:val="0"/>
        <w:adjustRightInd w:val="0"/>
        <w:spacing w:after="0" w:line="240" w:lineRule="auto"/>
        <w:contextualSpacing/>
        <w:jc w:val="both"/>
        <w:rPr>
          <w:rFonts w:cs="Graphik-Regular"/>
          <w:color w:val="000000"/>
          <w:lang w:val="en-US"/>
        </w:rPr>
      </w:pPr>
      <w:r>
        <w:rPr>
          <w:rFonts w:cs="Graphik-Regular"/>
          <w:color w:val="000000"/>
          <w:lang w:val="en-US"/>
        </w:rPr>
        <w:t>Both policy makers and community and voluntary sector leaders e</w:t>
      </w:r>
      <w:r w:rsidR="007735CD" w:rsidRPr="007735CD">
        <w:rPr>
          <w:rFonts w:cs="Graphik-Regular"/>
          <w:color w:val="000000"/>
          <w:lang w:val="en-US"/>
        </w:rPr>
        <w:t>ncourag</w:t>
      </w:r>
      <w:r>
        <w:rPr>
          <w:rFonts w:cs="Graphik-Regular"/>
          <w:color w:val="000000"/>
          <w:lang w:val="en-US"/>
        </w:rPr>
        <w:t>ing</w:t>
      </w:r>
      <w:r w:rsidR="007735CD" w:rsidRPr="007735CD">
        <w:rPr>
          <w:rFonts w:cs="Graphik-Regular"/>
          <w:color w:val="000000"/>
          <w:lang w:val="en-US"/>
        </w:rPr>
        <w:t xml:space="preserve"> and </w:t>
      </w:r>
      <w:r>
        <w:rPr>
          <w:rFonts w:cs="Graphik-Regular"/>
          <w:color w:val="000000"/>
          <w:lang w:val="en-US"/>
        </w:rPr>
        <w:t xml:space="preserve">actively </w:t>
      </w:r>
      <w:r w:rsidR="007735CD" w:rsidRPr="007735CD">
        <w:rPr>
          <w:rFonts w:cs="Graphik-Regular"/>
          <w:color w:val="000000"/>
          <w:lang w:val="en-US"/>
        </w:rPr>
        <w:t>support</w:t>
      </w:r>
      <w:r w:rsidR="005D4BEB">
        <w:rPr>
          <w:rFonts w:cs="Graphik-Regular"/>
          <w:color w:val="000000"/>
          <w:lang w:val="en-US"/>
        </w:rPr>
        <w:t xml:space="preserve"> </w:t>
      </w:r>
      <w:r w:rsidR="007735CD" w:rsidRPr="007735CD">
        <w:rPr>
          <w:rFonts w:cs="Graphik-Regular"/>
          <w:color w:val="000000"/>
          <w:lang w:val="en-US"/>
        </w:rPr>
        <w:t>development of community and voluntary sector coalitions and once formed actively engaging and prioritizing engagement with these coalitions</w:t>
      </w:r>
      <w:r w:rsidR="0060372B">
        <w:rPr>
          <w:rFonts w:cs="Graphik-Regular"/>
          <w:color w:val="000000"/>
          <w:lang w:val="en-US"/>
        </w:rPr>
        <w:t>.</w:t>
      </w:r>
    </w:p>
    <w:p w14:paraId="468253A1" w14:textId="77777777" w:rsidR="007735CD" w:rsidRPr="007735CD" w:rsidRDefault="007735CD" w:rsidP="007735CD">
      <w:pPr>
        <w:spacing w:after="0" w:line="240" w:lineRule="auto"/>
        <w:ind w:left="567"/>
        <w:contextualSpacing/>
        <w:jc w:val="both"/>
        <w:rPr>
          <w:rFonts w:cs="Graphik-Regular"/>
          <w:color w:val="000000"/>
          <w:lang w:val="en-US"/>
        </w:rPr>
      </w:pPr>
    </w:p>
    <w:p w14:paraId="10CF181D" w14:textId="77777777" w:rsidR="007735CD" w:rsidRPr="007735CD" w:rsidRDefault="007735CD" w:rsidP="007C0CDD">
      <w:pPr>
        <w:numPr>
          <w:ilvl w:val="0"/>
          <w:numId w:val="10"/>
        </w:numPr>
        <w:autoSpaceDE w:val="0"/>
        <w:autoSpaceDN w:val="0"/>
        <w:adjustRightInd w:val="0"/>
        <w:spacing w:after="0" w:line="240" w:lineRule="auto"/>
        <w:contextualSpacing/>
        <w:jc w:val="both"/>
        <w:rPr>
          <w:rFonts w:cs="Graphik-Regular"/>
          <w:color w:val="000000"/>
          <w:lang w:val="en-US"/>
        </w:rPr>
      </w:pPr>
      <w:r w:rsidRPr="007735CD">
        <w:rPr>
          <w:rFonts w:cs="Graphik-Regular"/>
          <w:color w:val="000000"/>
          <w:lang w:val="en-US"/>
        </w:rPr>
        <w:t>Being open to doing things differently, adopting more innovative approaches to policy implementation and development.</w:t>
      </w:r>
    </w:p>
    <w:p w14:paraId="73DCD517" w14:textId="77777777" w:rsidR="007735CD" w:rsidRPr="007735CD" w:rsidRDefault="007735CD" w:rsidP="007735CD">
      <w:pPr>
        <w:spacing w:after="0" w:line="240" w:lineRule="auto"/>
        <w:ind w:left="567"/>
        <w:contextualSpacing/>
        <w:jc w:val="both"/>
        <w:rPr>
          <w:rFonts w:cs="Graphik-Regular"/>
          <w:color w:val="000000"/>
          <w:lang w:val="en-US"/>
        </w:rPr>
      </w:pPr>
    </w:p>
    <w:p w14:paraId="79E7DB46" w14:textId="323741E8" w:rsidR="007735CD" w:rsidRPr="007735CD" w:rsidRDefault="00CD79EE" w:rsidP="007C0CDD">
      <w:pPr>
        <w:numPr>
          <w:ilvl w:val="0"/>
          <w:numId w:val="10"/>
        </w:numPr>
        <w:autoSpaceDE w:val="0"/>
        <w:autoSpaceDN w:val="0"/>
        <w:adjustRightInd w:val="0"/>
        <w:spacing w:after="0" w:line="240" w:lineRule="auto"/>
        <w:contextualSpacing/>
        <w:jc w:val="both"/>
        <w:rPr>
          <w:rFonts w:cs="Graphik-Regular"/>
          <w:color w:val="000000"/>
          <w:lang w:val="en-US"/>
        </w:rPr>
      </w:pPr>
      <w:r>
        <w:rPr>
          <w:rFonts w:cs="Graphik-Regular"/>
          <w:color w:val="000000"/>
          <w:lang w:val="en-US"/>
        </w:rPr>
        <w:t>T</w:t>
      </w:r>
      <w:r w:rsidR="00FC4CBE">
        <w:rPr>
          <w:rFonts w:cs="Graphik-Regular"/>
          <w:color w:val="000000"/>
          <w:lang w:val="en-US"/>
        </w:rPr>
        <w:t xml:space="preserve">aking </w:t>
      </w:r>
      <w:r w:rsidR="007735CD" w:rsidRPr="007735CD">
        <w:rPr>
          <w:rFonts w:cs="Graphik-Regular"/>
          <w:color w:val="000000"/>
          <w:lang w:val="en-US"/>
        </w:rPr>
        <w:t>time</w:t>
      </w:r>
      <w:r w:rsidR="005D4BEB">
        <w:rPr>
          <w:rFonts w:cs="Graphik-Regular"/>
          <w:color w:val="000000"/>
          <w:lang w:val="en-US"/>
        </w:rPr>
        <w:t xml:space="preserve"> </w:t>
      </w:r>
      <w:r w:rsidR="007735CD" w:rsidRPr="007735CD">
        <w:rPr>
          <w:rFonts w:cs="Graphik-Regular"/>
          <w:color w:val="000000"/>
          <w:lang w:val="en-US"/>
        </w:rPr>
        <w:t>to identify the community and voluntary organisation best qualified/most knowledgeable</w:t>
      </w:r>
      <w:r w:rsidR="00A9696C">
        <w:rPr>
          <w:rFonts w:cs="Graphik-Regular"/>
          <w:color w:val="000000"/>
          <w:lang w:val="en-US"/>
        </w:rPr>
        <w:t>/most grounded</w:t>
      </w:r>
      <w:r w:rsidR="007735CD" w:rsidRPr="007735CD">
        <w:rPr>
          <w:rFonts w:cs="Graphik-Regular"/>
          <w:color w:val="000000"/>
          <w:lang w:val="en-US"/>
        </w:rPr>
        <w:t xml:space="preserve"> </w:t>
      </w:r>
      <w:r w:rsidR="00FC4CBE">
        <w:rPr>
          <w:rFonts w:cs="Graphik-Regular"/>
          <w:color w:val="000000"/>
          <w:lang w:val="en-US"/>
        </w:rPr>
        <w:t xml:space="preserve">in relation to </w:t>
      </w:r>
      <w:r w:rsidR="007735CD" w:rsidRPr="007735CD">
        <w:rPr>
          <w:rFonts w:cs="Graphik-Regular"/>
          <w:color w:val="000000"/>
          <w:lang w:val="en-US"/>
        </w:rPr>
        <w:t>the issue being addressed and engag</w:t>
      </w:r>
      <w:r w:rsidR="00FC4CBE">
        <w:rPr>
          <w:rFonts w:cs="Graphik-Regular"/>
          <w:color w:val="000000"/>
          <w:lang w:val="en-US"/>
        </w:rPr>
        <w:t>e</w:t>
      </w:r>
      <w:r w:rsidR="007735CD" w:rsidRPr="007735CD">
        <w:rPr>
          <w:rFonts w:cs="Graphik-Regular"/>
          <w:color w:val="000000"/>
          <w:lang w:val="en-US"/>
        </w:rPr>
        <w:t xml:space="preserve"> with that group.</w:t>
      </w:r>
    </w:p>
    <w:p w14:paraId="351595B5" w14:textId="2C1B9089" w:rsidR="007735CD" w:rsidRPr="00AE7D07" w:rsidRDefault="00AE7D07" w:rsidP="00ED47A2">
      <w:pPr>
        <w:pStyle w:val="Heading2"/>
      </w:pPr>
      <w:bookmarkStart w:id="79" w:name="_Toc394492979"/>
      <w:bookmarkStart w:id="80" w:name="_Toc394493500"/>
      <w:r>
        <w:t>4.7</w:t>
      </w:r>
      <w:r>
        <w:tab/>
      </w:r>
      <w:r w:rsidRPr="00AE7D07">
        <w:t>Overview of the Key Learning</w:t>
      </w:r>
      <w:bookmarkEnd w:id="79"/>
      <w:bookmarkEnd w:id="80"/>
    </w:p>
    <w:p w14:paraId="181D0DEF" w14:textId="012AD041" w:rsidR="003E705F" w:rsidRDefault="00BB6057" w:rsidP="003E705F">
      <w:pPr>
        <w:pStyle w:val="PlainText"/>
      </w:pPr>
      <w:r>
        <w:t>I</w:t>
      </w:r>
      <w:r w:rsidR="003E705F">
        <w:t xml:space="preserve">t is important that the key learning generated by the Initiative has a life after the Initiative.  </w:t>
      </w:r>
      <w:r w:rsidR="003E705F" w:rsidRPr="006B4408">
        <w:t xml:space="preserve">See </w:t>
      </w:r>
      <w:r w:rsidR="003E705F">
        <w:t xml:space="preserve">Figure 4.1 for </w:t>
      </w:r>
      <w:r w:rsidR="003E705F" w:rsidRPr="006B4408">
        <w:t>an overview of the key areas of learning</w:t>
      </w:r>
      <w:r w:rsidR="003E705F" w:rsidRPr="006B4408">
        <w:rPr>
          <w:b/>
        </w:rPr>
        <w:t xml:space="preserve"> </w:t>
      </w:r>
      <w:r w:rsidR="003E705F">
        <w:t>and Table 4.4 for a summary of the</w:t>
      </w:r>
      <w:r w:rsidR="003E705F" w:rsidRPr="006B4408">
        <w:t xml:space="preserve"> key learning</w:t>
      </w:r>
      <w:r w:rsidR="003E705F">
        <w:t xml:space="preserve"> and challenges both for the community and voluntary sector and for policy</w:t>
      </w:r>
      <w:r w:rsidR="0060372B">
        <w:t>-</w:t>
      </w:r>
      <w:r w:rsidR="003E705F">
        <w:t>makers and influencers</w:t>
      </w:r>
      <w:r w:rsidR="003E705F" w:rsidRPr="006B4408">
        <w:t>.</w:t>
      </w:r>
    </w:p>
    <w:p w14:paraId="2DAC40C0" w14:textId="77777777" w:rsidR="003E705F" w:rsidRDefault="003E705F" w:rsidP="003E705F">
      <w:pPr>
        <w:pStyle w:val="PlainText"/>
      </w:pPr>
    </w:p>
    <w:p w14:paraId="443CBEB2" w14:textId="77777777" w:rsidR="003E705F" w:rsidRDefault="003E705F" w:rsidP="00ED47A2">
      <w:pPr>
        <w:pStyle w:val="Heading4"/>
      </w:pPr>
      <w:r>
        <w:t>Figure 4</w:t>
      </w:r>
      <w:r w:rsidRPr="006B4408">
        <w:t xml:space="preserve">.1 </w:t>
      </w:r>
      <w:proofErr w:type="gramStart"/>
      <w:r>
        <w:t>The</w:t>
      </w:r>
      <w:proofErr w:type="gramEnd"/>
      <w:r>
        <w:t xml:space="preserve"> </w:t>
      </w:r>
      <w:r w:rsidRPr="006B4408">
        <w:t xml:space="preserve">Key </w:t>
      </w:r>
      <w:r>
        <w:t xml:space="preserve">Areas of </w:t>
      </w:r>
      <w:r w:rsidRPr="006B4408">
        <w:t xml:space="preserve">Learning </w:t>
      </w:r>
    </w:p>
    <w:p w14:paraId="696C8E4D" w14:textId="77777777" w:rsidR="003E705F" w:rsidRDefault="003E705F" w:rsidP="003E705F">
      <w:pPr>
        <w:pStyle w:val="PlainText"/>
      </w:pPr>
    </w:p>
    <w:p w14:paraId="049BFF6F" w14:textId="75DE5535" w:rsidR="003E705F" w:rsidRDefault="00B30092" w:rsidP="003E705F">
      <w:pPr>
        <w:pStyle w:val="PlainText"/>
      </w:pPr>
      <w:r>
        <w:rPr>
          <w:noProof/>
          <w:lang w:val="en-IE" w:eastAsia="en-IE"/>
        </w:rPr>
        <mc:AlternateContent>
          <mc:Choice Requires="wps">
            <w:drawing>
              <wp:anchor distT="0" distB="0" distL="114300" distR="114300" simplePos="0" relativeHeight="251659264" behindDoc="0" locked="0" layoutInCell="1" allowOverlap="1" wp14:anchorId="6C03C0E2" wp14:editId="670B959C">
                <wp:simplePos x="0" y="0"/>
                <wp:positionH relativeFrom="column">
                  <wp:posOffset>0</wp:posOffset>
                </wp:positionH>
                <wp:positionV relativeFrom="paragraph">
                  <wp:posOffset>3035935</wp:posOffset>
                </wp:positionV>
                <wp:extent cx="5463540" cy="15240"/>
                <wp:effectExtent l="12700" t="12700" r="22860" b="2286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354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3" o:spid="_x0000_s1026" type="#_x0000_t32" style="position:absolute;margin-left:0;margin-top:239.05pt;width:430.2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"/>
            </w:pict>
          </mc:Fallback>
        </mc:AlternateContent>
      </w:r>
      <w:r w:rsidR="003E705F">
        <w:rPr>
          <w:noProof/>
          <w:lang w:val="en-IE" w:eastAsia="en-IE"/>
        </w:rPr>
        <w:drawing>
          <wp:inline distT="0" distB="0" distL="0" distR="0" wp14:anchorId="7F10557D" wp14:editId="0D260748">
            <wp:extent cx="3314700" cy="1858447"/>
            <wp:effectExtent l="19050" t="19050" r="19050" b="279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 v1.JPG"/>
                    <pic:cNvPicPr/>
                  </pic:nvPicPr>
                  <pic:blipFill>
                    <a:blip r:embed="rId16">
                      <a:extLst>
                        <a:ext uri="{28A0092B-C50C-407E-A947-70E740481C1C}">
                          <a14:useLocalDpi xmlns:a14="http://schemas.microsoft.com/office/drawing/2010/main" val="0"/>
                        </a:ext>
                      </a:extLst>
                    </a:blip>
                    <a:stretch>
                      <a:fillRect/>
                    </a:stretch>
                  </pic:blipFill>
                  <pic:spPr>
                    <a:xfrm>
                      <a:off x="0" y="0"/>
                      <a:ext cx="3324926" cy="1864181"/>
                    </a:xfrm>
                    <a:prstGeom prst="rect">
                      <a:avLst/>
                    </a:prstGeom>
                    <a:ln>
                      <a:solidFill>
                        <a:schemeClr val="tx1"/>
                      </a:solidFill>
                    </a:ln>
                  </pic:spPr>
                </pic:pic>
              </a:graphicData>
            </a:graphic>
          </wp:inline>
        </w:drawing>
      </w:r>
    </w:p>
    <w:p w14:paraId="6FA30888" w14:textId="77777777" w:rsidR="003E705F" w:rsidRDefault="003E705F">
      <w:pPr>
        <w:rPr>
          <w:rFonts w:ascii="Calibri" w:hAnsi="Calibri"/>
          <w:szCs w:val="21"/>
        </w:rPr>
      </w:pPr>
      <w:r>
        <w:br w:type="page"/>
      </w:r>
    </w:p>
    <w:p w14:paraId="5C8B46FC" w14:textId="77777777" w:rsidR="003E705F" w:rsidRDefault="003E705F" w:rsidP="003E705F">
      <w:pPr>
        <w:pStyle w:val="PlainText"/>
        <w:sectPr w:rsidR="003E705F" w:rsidSect="00A96DCD">
          <w:pgSz w:w="11906" w:h="16838"/>
          <w:pgMar w:top="1440" w:right="1440" w:bottom="1440" w:left="1440" w:header="708" w:footer="708" w:gutter="0"/>
          <w:cols w:space="708"/>
          <w:docGrid w:linePitch="360"/>
        </w:sectPr>
      </w:pPr>
    </w:p>
    <w:p w14:paraId="662F1BDE" w14:textId="77777777" w:rsidR="003E705F" w:rsidRPr="006B4408" w:rsidRDefault="003E705F" w:rsidP="003E705F">
      <w:pPr>
        <w:pStyle w:val="PlainText"/>
      </w:pPr>
    </w:p>
    <w:tbl>
      <w:tblPr>
        <w:tblStyle w:val="TableGrid"/>
        <w:tblW w:w="14142" w:type="dxa"/>
        <w:tblLayout w:type="fixed"/>
        <w:tblLook w:val="04A0" w:firstRow="1" w:lastRow="0" w:firstColumn="1" w:lastColumn="0" w:noHBand="0" w:noVBand="1"/>
      </w:tblPr>
      <w:tblGrid>
        <w:gridCol w:w="1384"/>
        <w:gridCol w:w="6237"/>
        <w:gridCol w:w="6521"/>
      </w:tblGrid>
      <w:tr w:rsidR="006B1CA7" w:rsidRPr="006B4408" w14:paraId="7E8C948C" w14:textId="77777777" w:rsidTr="003F36EE">
        <w:trPr>
          <w:trHeight w:val="509"/>
        </w:trPr>
        <w:tc>
          <w:tcPr>
            <w:tcW w:w="14142" w:type="dxa"/>
            <w:gridSpan w:val="3"/>
            <w:shd w:val="clear" w:color="auto" w:fill="B2A1C7" w:themeFill="accent4" w:themeFillTint="99"/>
          </w:tcPr>
          <w:p w14:paraId="384D0A30" w14:textId="7B0D4141" w:rsidR="006B1CA7" w:rsidRPr="006B4408" w:rsidRDefault="006B1CA7" w:rsidP="00ED47A2">
            <w:pPr>
              <w:pStyle w:val="Heading4"/>
              <w:outlineLvl w:val="3"/>
            </w:pPr>
            <w:r>
              <w:t xml:space="preserve">Table </w:t>
            </w:r>
            <w:r w:rsidR="00C466F2">
              <w:t>4</w:t>
            </w:r>
            <w:r w:rsidRPr="006B4408">
              <w:t>.</w:t>
            </w:r>
            <w:r w:rsidR="00C466F2">
              <w:t>4</w:t>
            </w:r>
            <w:r w:rsidRPr="006B4408">
              <w:t xml:space="preserve"> Key Learning and Challenges </w:t>
            </w:r>
          </w:p>
        </w:tc>
      </w:tr>
      <w:tr w:rsidR="003E705F" w:rsidRPr="00E91F6B" w14:paraId="73F296C3" w14:textId="77777777" w:rsidTr="00BB6057">
        <w:trPr>
          <w:trHeight w:val="509"/>
        </w:trPr>
        <w:tc>
          <w:tcPr>
            <w:tcW w:w="1384" w:type="dxa"/>
            <w:shd w:val="clear" w:color="auto" w:fill="B2A1C7" w:themeFill="accent4" w:themeFillTint="99"/>
          </w:tcPr>
          <w:p w14:paraId="722BB924" w14:textId="77777777" w:rsidR="003E705F" w:rsidRPr="00E91F6B" w:rsidRDefault="00546B97" w:rsidP="003F36EE">
            <w:pPr>
              <w:pStyle w:val="PlainText"/>
              <w:rPr>
                <w:i/>
              </w:rPr>
            </w:pPr>
            <w:r>
              <w:rPr>
                <w:i/>
              </w:rPr>
              <w:t>Area of Learning</w:t>
            </w:r>
          </w:p>
        </w:tc>
        <w:tc>
          <w:tcPr>
            <w:tcW w:w="6237" w:type="dxa"/>
            <w:shd w:val="clear" w:color="auto" w:fill="B2A1C7" w:themeFill="accent4" w:themeFillTint="99"/>
          </w:tcPr>
          <w:p w14:paraId="126A84B4" w14:textId="77777777" w:rsidR="003E705F" w:rsidRPr="00E91F6B" w:rsidRDefault="003E705F" w:rsidP="003F36EE">
            <w:pPr>
              <w:pStyle w:val="PlainText"/>
              <w:rPr>
                <w:i/>
              </w:rPr>
            </w:pPr>
            <w:r w:rsidRPr="00E91F6B">
              <w:rPr>
                <w:i/>
              </w:rPr>
              <w:t>Key Learning Points</w:t>
            </w:r>
          </w:p>
        </w:tc>
        <w:tc>
          <w:tcPr>
            <w:tcW w:w="6521" w:type="dxa"/>
            <w:shd w:val="clear" w:color="auto" w:fill="B2A1C7" w:themeFill="accent4" w:themeFillTint="99"/>
          </w:tcPr>
          <w:p w14:paraId="1B71B327" w14:textId="77777777" w:rsidR="003E705F" w:rsidRPr="00E91F6B" w:rsidRDefault="003E705F" w:rsidP="003F36EE">
            <w:pPr>
              <w:pStyle w:val="PlainText"/>
              <w:rPr>
                <w:i/>
              </w:rPr>
            </w:pPr>
            <w:r w:rsidRPr="00E91F6B">
              <w:rPr>
                <w:i/>
              </w:rPr>
              <w:t>The Challenges</w:t>
            </w:r>
          </w:p>
        </w:tc>
      </w:tr>
      <w:tr w:rsidR="00A7315B" w:rsidRPr="006B4408" w14:paraId="41000BD7" w14:textId="77777777" w:rsidTr="00BB6057">
        <w:trPr>
          <w:trHeight w:val="2686"/>
        </w:trPr>
        <w:tc>
          <w:tcPr>
            <w:tcW w:w="1384" w:type="dxa"/>
          </w:tcPr>
          <w:p w14:paraId="3C8EAE80" w14:textId="77777777" w:rsidR="00A7315B" w:rsidRPr="006B4408" w:rsidRDefault="00A7315B" w:rsidP="00A7315B">
            <w:pPr>
              <w:pStyle w:val="PlainText"/>
              <w:rPr>
                <w:b/>
              </w:rPr>
            </w:pPr>
            <w:r w:rsidRPr="006B4408">
              <w:rPr>
                <w:b/>
              </w:rPr>
              <w:t>Awareness &amp; understanding</w:t>
            </w:r>
          </w:p>
          <w:p w14:paraId="48C9417C" w14:textId="77777777" w:rsidR="00A7315B" w:rsidRPr="006B4408" w:rsidRDefault="00A7315B" w:rsidP="003F36EE">
            <w:pPr>
              <w:pStyle w:val="PlainText"/>
              <w:rPr>
                <w:b/>
              </w:rPr>
            </w:pPr>
          </w:p>
        </w:tc>
        <w:tc>
          <w:tcPr>
            <w:tcW w:w="6237" w:type="dxa"/>
          </w:tcPr>
          <w:p w14:paraId="6BE21BD8" w14:textId="77777777" w:rsidR="00A7315B" w:rsidRPr="006B4408" w:rsidRDefault="00A7315B" w:rsidP="003F36EE">
            <w:pPr>
              <w:pStyle w:val="PlainText"/>
            </w:pPr>
            <w:r w:rsidRPr="006B4408">
              <w:t xml:space="preserve">Community and voluntary sector advocacy work is not well understood, particularly outside of policy and decision making circles. </w:t>
            </w:r>
          </w:p>
          <w:p w14:paraId="5C531997" w14:textId="77777777" w:rsidR="00A7315B" w:rsidRDefault="00A7315B" w:rsidP="003F36EE">
            <w:pPr>
              <w:pStyle w:val="PlainText"/>
            </w:pPr>
          </w:p>
          <w:p w14:paraId="7B0993E3" w14:textId="77777777" w:rsidR="0027032C" w:rsidRDefault="0027032C" w:rsidP="0027032C">
            <w:r>
              <w:t xml:space="preserve">The state of social justice advocacy is ad hoc and underdeveloped.  </w:t>
            </w:r>
          </w:p>
          <w:p w14:paraId="397B6A18" w14:textId="77777777" w:rsidR="0027032C" w:rsidRDefault="0027032C" w:rsidP="0027032C"/>
          <w:p w14:paraId="4EA1F3A8" w14:textId="77777777" w:rsidR="0027032C" w:rsidRDefault="0027032C" w:rsidP="0027032C">
            <w:r>
              <w:t xml:space="preserve">The Advocacy Initiative’s definition of social justice advocacy, has (if widely adopted by the sector) the capacity to increase levels of understanding of social justice advocacy is and its role in wider civil society. </w:t>
            </w:r>
          </w:p>
          <w:p w14:paraId="360D652D" w14:textId="77777777" w:rsidR="002E1033" w:rsidRPr="006B4408" w:rsidRDefault="002E1033" w:rsidP="0027032C">
            <w:pPr>
              <w:pStyle w:val="PlainText"/>
            </w:pPr>
          </w:p>
        </w:tc>
        <w:tc>
          <w:tcPr>
            <w:tcW w:w="6521" w:type="dxa"/>
          </w:tcPr>
          <w:p w14:paraId="3AEF2D77" w14:textId="77777777" w:rsidR="00A7315B" w:rsidRDefault="00D86F52" w:rsidP="003F36EE">
            <w:pPr>
              <w:pStyle w:val="PlainText"/>
              <w:rPr>
                <w:b/>
              </w:rPr>
            </w:pPr>
            <w:r>
              <w:rPr>
                <w:b/>
              </w:rPr>
              <w:t>C</w:t>
            </w:r>
            <w:r w:rsidR="00A7315B" w:rsidRPr="006B4408">
              <w:rPr>
                <w:b/>
              </w:rPr>
              <w:t xml:space="preserve">ommunity and voluntary sector </w:t>
            </w:r>
            <w:r>
              <w:rPr>
                <w:b/>
              </w:rPr>
              <w:t xml:space="preserve">challenges are </w:t>
            </w:r>
            <w:r w:rsidR="00A7315B" w:rsidRPr="006B4408">
              <w:rPr>
                <w:b/>
              </w:rPr>
              <w:t>to:</w:t>
            </w:r>
          </w:p>
          <w:p w14:paraId="04AFF7F7" w14:textId="77777777" w:rsidR="00A7315B" w:rsidRPr="00D05107" w:rsidRDefault="00A7315B" w:rsidP="007C0CDD">
            <w:pPr>
              <w:pStyle w:val="PlainText"/>
              <w:numPr>
                <w:ilvl w:val="0"/>
                <w:numId w:val="20"/>
              </w:numPr>
            </w:pPr>
            <w:r w:rsidRPr="006B4408">
              <w:rPr>
                <w:b/>
              </w:rPr>
              <w:t>Raise awareness</w:t>
            </w:r>
            <w:r w:rsidRPr="00D05107">
              <w:rPr>
                <w:b/>
              </w:rPr>
              <w:t xml:space="preserve"> </w:t>
            </w:r>
            <w:r w:rsidRPr="00D05107">
              <w:t xml:space="preserve">of the contribution their social justice advocacy work can and has made to Irish society </w:t>
            </w:r>
          </w:p>
          <w:p w14:paraId="6DC86803" w14:textId="628407C1" w:rsidR="00A7315B" w:rsidRPr="00D05107" w:rsidRDefault="00A7315B" w:rsidP="00AA3B33">
            <w:pPr>
              <w:pStyle w:val="PlainText"/>
              <w:ind w:left="677"/>
            </w:pPr>
            <w:r w:rsidRPr="00D05107">
              <w:t>a) at political &amp; administrative levels</w:t>
            </w:r>
          </w:p>
          <w:p w14:paraId="3C4B3E84" w14:textId="77777777" w:rsidR="00A7315B" w:rsidRPr="00D05107" w:rsidRDefault="00A7315B" w:rsidP="00AA3B33">
            <w:pPr>
              <w:pStyle w:val="PlainText"/>
              <w:ind w:left="677"/>
            </w:pPr>
            <w:r w:rsidRPr="00D05107">
              <w:t xml:space="preserve">b) with the media </w:t>
            </w:r>
          </w:p>
          <w:p w14:paraId="2DAA1882" w14:textId="77777777" w:rsidR="00A7315B" w:rsidRPr="00D05107" w:rsidRDefault="00A7315B" w:rsidP="00AA3B33">
            <w:pPr>
              <w:pStyle w:val="PlainText"/>
              <w:ind w:left="677"/>
            </w:pPr>
            <w:r w:rsidRPr="00D05107">
              <w:t xml:space="preserve">c) among the general public </w:t>
            </w:r>
          </w:p>
          <w:p w14:paraId="717B02CC" w14:textId="77777777" w:rsidR="00A7315B" w:rsidRPr="00D05107" w:rsidRDefault="00D05107" w:rsidP="007C0CDD">
            <w:pPr>
              <w:pStyle w:val="PlainText"/>
              <w:numPr>
                <w:ilvl w:val="0"/>
                <w:numId w:val="20"/>
              </w:numPr>
              <w:rPr>
                <w:b/>
              </w:rPr>
            </w:pPr>
            <w:r>
              <w:rPr>
                <w:b/>
              </w:rPr>
              <w:t>Use new/</w:t>
            </w:r>
            <w:r w:rsidR="00A7315B" w:rsidRPr="006B4408">
              <w:rPr>
                <w:b/>
              </w:rPr>
              <w:t xml:space="preserve">enhanced ways </w:t>
            </w:r>
            <w:r w:rsidR="00A7315B" w:rsidRPr="00D05107">
              <w:t>(e.g. better use of social media) to engage more widely with members of the public in order to get more people involved in campaigning for social justice.</w:t>
            </w:r>
          </w:p>
          <w:p w14:paraId="17274891" w14:textId="77777777" w:rsidR="00D05107" w:rsidRPr="00D05107" w:rsidRDefault="0027032C" w:rsidP="007C0CDD">
            <w:pPr>
              <w:pStyle w:val="PlainText"/>
              <w:numPr>
                <w:ilvl w:val="0"/>
                <w:numId w:val="20"/>
              </w:numPr>
              <w:rPr>
                <w:b/>
              </w:rPr>
            </w:pPr>
            <w:r w:rsidRPr="0027032C">
              <w:rPr>
                <w:b/>
              </w:rPr>
              <w:t>Demonstrate the legitimacy of social justice advocacy work</w:t>
            </w:r>
            <w:r w:rsidRPr="00D05107">
              <w:t xml:space="preserve"> by the sector needs more clearly</w:t>
            </w:r>
            <w:r w:rsidRPr="00D05107">
              <w:rPr>
                <w:b/>
              </w:rPr>
              <w:t xml:space="preserve"> </w:t>
            </w:r>
          </w:p>
          <w:p w14:paraId="5917B146" w14:textId="0D3367C6" w:rsidR="0027032C" w:rsidRDefault="0027032C" w:rsidP="007C0CDD">
            <w:pPr>
              <w:pStyle w:val="PlainText"/>
              <w:numPr>
                <w:ilvl w:val="0"/>
                <w:numId w:val="20"/>
              </w:numPr>
            </w:pPr>
            <w:r w:rsidRPr="00D05107">
              <w:rPr>
                <w:b/>
              </w:rPr>
              <w:t>Find better</w:t>
            </w:r>
            <w:r w:rsidRPr="0027032C">
              <w:rPr>
                <w:b/>
              </w:rPr>
              <w:t xml:space="preserve"> ways to measure the effectiveness </w:t>
            </w:r>
            <w:r w:rsidRPr="00D05107">
              <w:t xml:space="preserve">of social justice advocacy work. The </w:t>
            </w:r>
            <w:r w:rsidR="00CD79EE">
              <w:t>‘Assess your Advocacy’</w:t>
            </w:r>
            <w:r w:rsidRPr="00D05107">
              <w:t xml:space="preserve"> </w:t>
            </w:r>
            <w:r w:rsidR="00CD79EE">
              <w:t>t</w:t>
            </w:r>
            <w:r w:rsidRPr="00D05107">
              <w:t>ool developed by the Initiative should support this process</w:t>
            </w:r>
          </w:p>
          <w:p w14:paraId="7CF8B905" w14:textId="7E2A7584" w:rsidR="00D05107" w:rsidRPr="006B4408" w:rsidRDefault="00D05107" w:rsidP="00D05107">
            <w:pPr>
              <w:pStyle w:val="PlainText"/>
              <w:rPr>
                <w:b/>
              </w:rPr>
            </w:pPr>
            <w:r w:rsidRPr="006B4408">
              <w:rPr>
                <w:b/>
              </w:rPr>
              <w:t>Policy</w:t>
            </w:r>
            <w:r w:rsidR="0060372B">
              <w:rPr>
                <w:b/>
              </w:rPr>
              <w:t>-</w:t>
            </w:r>
            <w:r w:rsidRPr="006B4408">
              <w:rPr>
                <w:b/>
              </w:rPr>
              <w:t xml:space="preserve">makers and influencers </w:t>
            </w:r>
            <w:r w:rsidR="00D86F52">
              <w:rPr>
                <w:b/>
              </w:rPr>
              <w:t xml:space="preserve">challenges are </w:t>
            </w:r>
            <w:r w:rsidRPr="006B4408">
              <w:rPr>
                <w:b/>
              </w:rPr>
              <w:t xml:space="preserve">to: </w:t>
            </w:r>
          </w:p>
          <w:p w14:paraId="6CDEF8EA" w14:textId="77777777" w:rsidR="00D05107" w:rsidRPr="006B4408" w:rsidRDefault="00D05107" w:rsidP="007C0CDD">
            <w:pPr>
              <w:pStyle w:val="PlainText"/>
              <w:numPr>
                <w:ilvl w:val="0"/>
                <w:numId w:val="20"/>
              </w:numPr>
            </w:pPr>
            <w:r w:rsidRPr="00D05107">
              <w:rPr>
                <w:rFonts w:asciiTheme="minorHAnsi" w:hAnsiTheme="minorHAnsi"/>
                <w:b/>
                <w:szCs w:val="22"/>
              </w:rPr>
              <w:t>Recognise the value and potential of the community and voluntary sector’s engagement/input</w:t>
            </w:r>
            <w:r w:rsidRPr="00774EB6">
              <w:rPr>
                <w:rFonts w:asciiTheme="minorHAnsi" w:hAnsiTheme="minorHAnsi"/>
                <w:szCs w:val="22"/>
              </w:rPr>
              <w:t xml:space="preserve"> into policy making processes. </w:t>
            </w:r>
          </w:p>
        </w:tc>
      </w:tr>
      <w:tr w:rsidR="003E705F" w:rsidRPr="006B4408" w14:paraId="3953AADD" w14:textId="77777777" w:rsidTr="00BB6057">
        <w:tc>
          <w:tcPr>
            <w:tcW w:w="1384" w:type="dxa"/>
          </w:tcPr>
          <w:p w14:paraId="39D3010F" w14:textId="77777777" w:rsidR="00A7315B" w:rsidRPr="006B4408" w:rsidRDefault="00A7315B" w:rsidP="00A7315B">
            <w:pPr>
              <w:pStyle w:val="PlainText"/>
              <w:rPr>
                <w:b/>
              </w:rPr>
            </w:pPr>
            <w:r w:rsidRPr="006B4408">
              <w:rPr>
                <w:b/>
              </w:rPr>
              <w:t>Credibility &amp; legitimacy</w:t>
            </w:r>
          </w:p>
          <w:p w14:paraId="6EDC8100" w14:textId="77777777" w:rsidR="003E705F" w:rsidRPr="006B4408" w:rsidRDefault="003E705F" w:rsidP="003F36EE">
            <w:pPr>
              <w:pStyle w:val="PlainText"/>
              <w:rPr>
                <w:b/>
              </w:rPr>
            </w:pPr>
          </w:p>
        </w:tc>
        <w:tc>
          <w:tcPr>
            <w:tcW w:w="6237" w:type="dxa"/>
          </w:tcPr>
          <w:p w14:paraId="1C4DD410" w14:textId="3DEB3EAA" w:rsidR="003E705F" w:rsidRPr="006B4408" w:rsidRDefault="003E705F" w:rsidP="003F36EE">
            <w:pPr>
              <w:pStyle w:val="PlainText"/>
            </w:pPr>
            <w:r w:rsidRPr="006B4408">
              <w:t>Policy</w:t>
            </w:r>
            <w:r w:rsidR="0060372B">
              <w:t>-</w:t>
            </w:r>
            <w:r w:rsidRPr="006B4408">
              <w:t>makers</w:t>
            </w:r>
            <w:r w:rsidR="00A7315B">
              <w:t xml:space="preserve"> and influencers have concerns </w:t>
            </w:r>
            <w:r w:rsidRPr="006B4408">
              <w:t>in relation to where community and voluntary sector organisations engaged in social justice advocacy work get their mandate</w:t>
            </w:r>
            <w:r w:rsidR="007502AA">
              <w:t xml:space="preserve"> and who exactly they represent</w:t>
            </w:r>
            <w:r w:rsidRPr="006B4408">
              <w:t>.</w:t>
            </w:r>
          </w:p>
          <w:p w14:paraId="70CD356A" w14:textId="77777777" w:rsidR="003E705F" w:rsidRPr="006B4408" w:rsidRDefault="003E705F" w:rsidP="003F36EE">
            <w:pPr>
              <w:pStyle w:val="PlainText"/>
            </w:pPr>
          </w:p>
          <w:p w14:paraId="0B8707EA" w14:textId="77777777" w:rsidR="002E1033" w:rsidRPr="006B4408" w:rsidRDefault="003E705F" w:rsidP="007502AA">
            <w:pPr>
              <w:pStyle w:val="PlainText"/>
            </w:pPr>
            <w:r w:rsidRPr="006B4408">
              <w:t xml:space="preserve">Questions have been raised in relation to whether </w:t>
            </w:r>
            <w:r w:rsidR="007502AA">
              <w:t xml:space="preserve">in relation to whether the professionalisation of the community and voluntary sector has led </w:t>
            </w:r>
            <w:r w:rsidRPr="006B4408">
              <w:t xml:space="preserve">some organisations </w:t>
            </w:r>
            <w:r w:rsidR="007502AA">
              <w:t xml:space="preserve">to become </w:t>
            </w:r>
            <w:r w:rsidRPr="006B4408">
              <w:t>more focused on sustaining the organisation than representing its membership</w:t>
            </w:r>
            <w:r w:rsidR="002E1033">
              <w:t>.</w:t>
            </w:r>
          </w:p>
        </w:tc>
        <w:tc>
          <w:tcPr>
            <w:tcW w:w="6521" w:type="dxa"/>
          </w:tcPr>
          <w:p w14:paraId="56475EC5" w14:textId="77777777" w:rsidR="003E705F" w:rsidRPr="006B4408" w:rsidRDefault="003E705F" w:rsidP="003F36EE">
            <w:pPr>
              <w:pStyle w:val="PlainText"/>
              <w:rPr>
                <w:b/>
              </w:rPr>
            </w:pPr>
            <w:r w:rsidRPr="006B4408">
              <w:rPr>
                <w:b/>
              </w:rPr>
              <w:t xml:space="preserve">Community and voluntary organisations </w:t>
            </w:r>
            <w:r w:rsidR="00D86F52">
              <w:rPr>
                <w:b/>
              </w:rPr>
              <w:t xml:space="preserve">challenges are </w:t>
            </w:r>
            <w:r w:rsidRPr="006B4408">
              <w:rPr>
                <w:b/>
              </w:rPr>
              <w:t>to:</w:t>
            </w:r>
          </w:p>
          <w:p w14:paraId="0B0B7F57" w14:textId="77777777" w:rsidR="003E705F" w:rsidRPr="006B4408" w:rsidRDefault="003E705F" w:rsidP="007C0CDD">
            <w:pPr>
              <w:pStyle w:val="PlainText"/>
              <w:numPr>
                <w:ilvl w:val="0"/>
                <w:numId w:val="20"/>
              </w:numPr>
            </w:pPr>
            <w:r w:rsidRPr="006B4408">
              <w:rPr>
                <w:b/>
              </w:rPr>
              <w:t>Prove where they get their mandate</w:t>
            </w:r>
            <w:r w:rsidRPr="006B4408">
              <w:t xml:space="preserve">, </w:t>
            </w:r>
            <w:proofErr w:type="gramStart"/>
            <w:r w:rsidRPr="006B4408">
              <w:t>who</w:t>
            </w:r>
            <w:proofErr w:type="gramEnd"/>
            <w:r w:rsidRPr="006B4408">
              <w:t xml:space="preserve"> exactly they represent and how they engage on an ongoing basis with the group/s they purport to represent.</w:t>
            </w:r>
          </w:p>
          <w:p w14:paraId="5320E2ED" w14:textId="77777777" w:rsidR="003E705F" w:rsidRPr="006B4408" w:rsidRDefault="003E705F" w:rsidP="007C0CDD">
            <w:pPr>
              <w:pStyle w:val="PlainText"/>
              <w:numPr>
                <w:ilvl w:val="0"/>
                <w:numId w:val="20"/>
              </w:numPr>
            </w:pPr>
            <w:r w:rsidRPr="006B4408">
              <w:rPr>
                <w:b/>
              </w:rPr>
              <w:t>Engage in regular questioning</w:t>
            </w:r>
            <w:r w:rsidRPr="006B4408">
              <w:t xml:space="preserve"> of their purpose and activities.</w:t>
            </w:r>
          </w:p>
          <w:p w14:paraId="2FAE9263" w14:textId="77777777" w:rsidR="0027032C" w:rsidRDefault="0027032C" w:rsidP="003F36EE">
            <w:pPr>
              <w:pStyle w:val="PlainText"/>
              <w:rPr>
                <w:b/>
              </w:rPr>
            </w:pPr>
          </w:p>
          <w:p w14:paraId="5732B635" w14:textId="77777777" w:rsidR="003E705F" w:rsidRPr="006B4408" w:rsidRDefault="003E705F" w:rsidP="003F36EE">
            <w:pPr>
              <w:pStyle w:val="PlainText"/>
              <w:rPr>
                <w:b/>
              </w:rPr>
            </w:pPr>
            <w:r w:rsidRPr="006B4408">
              <w:rPr>
                <w:b/>
              </w:rPr>
              <w:t xml:space="preserve">Policy makers and influencers </w:t>
            </w:r>
            <w:r w:rsidR="00D86F52">
              <w:rPr>
                <w:b/>
              </w:rPr>
              <w:t xml:space="preserve">challenges are </w:t>
            </w:r>
            <w:r w:rsidRPr="006B4408">
              <w:rPr>
                <w:b/>
              </w:rPr>
              <w:t xml:space="preserve">to: </w:t>
            </w:r>
          </w:p>
          <w:p w14:paraId="4F84EBB7" w14:textId="77777777" w:rsidR="003E705F" w:rsidRPr="006B4408" w:rsidRDefault="003E705F" w:rsidP="007C0CDD">
            <w:pPr>
              <w:pStyle w:val="PlainText"/>
              <w:numPr>
                <w:ilvl w:val="0"/>
                <w:numId w:val="20"/>
              </w:numPr>
            </w:pPr>
            <w:r w:rsidRPr="006B4408">
              <w:rPr>
                <w:b/>
              </w:rPr>
              <w:t xml:space="preserve">Recognise </w:t>
            </w:r>
            <w:r w:rsidR="0027032C">
              <w:rPr>
                <w:b/>
              </w:rPr>
              <w:t xml:space="preserve">the </w:t>
            </w:r>
            <w:r w:rsidRPr="006B4408">
              <w:rPr>
                <w:b/>
              </w:rPr>
              <w:t xml:space="preserve">differences in sympathy levels </w:t>
            </w:r>
            <w:r w:rsidRPr="006B4408">
              <w:t>for the different groups on whose behalf the sector advocates, making some groups easier to advocate than others</w:t>
            </w:r>
            <w:r w:rsidRPr="006B4408">
              <w:rPr>
                <w:lang w:val="en-US"/>
              </w:rPr>
              <w:t xml:space="preserve"> </w:t>
            </w:r>
          </w:p>
        </w:tc>
      </w:tr>
      <w:tr w:rsidR="003E705F" w:rsidRPr="006B4408" w14:paraId="30C2E10D" w14:textId="77777777" w:rsidTr="00BB6057">
        <w:tc>
          <w:tcPr>
            <w:tcW w:w="1384" w:type="dxa"/>
          </w:tcPr>
          <w:p w14:paraId="59CEC2E4" w14:textId="77777777" w:rsidR="00A7315B" w:rsidRPr="006B4408" w:rsidRDefault="00A7315B" w:rsidP="00A7315B">
            <w:pPr>
              <w:pStyle w:val="PlainText"/>
              <w:rPr>
                <w:b/>
              </w:rPr>
            </w:pPr>
            <w:r w:rsidRPr="006B4408">
              <w:rPr>
                <w:b/>
              </w:rPr>
              <w:t>Re</w:t>
            </w:r>
            <w:r>
              <w:rPr>
                <w:b/>
              </w:rPr>
              <w:t xml:space="preserve">spect, </w:t>
            </w:r>
            <w:r>
              <w:rPr>
                <w:b/>
              </w:rPr>
              <w:lastRenderedPageBreak/>
              <w:t>re</w:t>
            </w:r>
            <w:r w:rsidRPr="006B4408">
              <w:rPr>
                <w:b/>
              </w:rPr>
              <w:t xml:space="preserve">lationship building and trust </w:t>
            </w:r>
          </w:p>
          <w:p w14:paraId="6C17802A" w14:textId="77777777" w:rsidR="003E705F" w:rsidRDefault="003E705F" w:rsidP="003F36EE">
            <w:pPr>
              <w:pStyle w:val="PlainText"/>
              <w:rPr>
                <w:b/>
              </w:rPr>
            </w:pPr>
          </w:p>
          <w:p w14:paraId="5C9CB534" w14:textId="77777777" w:rsidR="00A7315B" w:rsidRPr="006B4408" w:rsidRDefault="00A7315B" w:rsidP="00A7315B">
            <w:pPr>
              <w:rPr>
                <w:b/>
              </w:rPr>
            </w:pPr>
          </w:p>
        </w:tc>
        <w:tc>
          <w:tcPr>
            <w:tcW w:w="6237" w:type="dxa"/>
          </w:tcPr>
          <w:p w14:paraId="02E0861A" w14:textId="77777777" w:rsidR="00A7315B" w:rsidRDefault="003E705F" w:rsidP="00A7315B">
            <w:r w:rsidRPr="006B4408">
              <w:lastRenderedPageBreak/>
              <w:t xml:space="preserve">The issue of a lack of respect arose frequently within work </w:t>
            </w:r>
            <w:r w:rsidRPr="006B4408">
              <w:lastRenderedPageBreak/>
              <w:t xml:space="preserve">undertaken by the Advocacy Initiative. </w:t>
            </w:r>
          </w:p>
          <w:p w14:paraId="7A8550BC" w14:textId="77777777" w:rsidR="00A7315B" w:rsidRDefault="00A7315B" w:rsidP="00A7315B"/>
          <w:p w14:paraId="67772C77" w14:textId="04CFE763" w:rsidR="00A7315B" w:rsidRDefault="00A7315B" w:rsidP="00A7315B">
            <w:r>
              <w:t>Research found a lack of acceptance among some policy</w:t>
            </w:r>
            <w:r w:rsidR="0060372B">
              <w:t>-</w:t>
            </w:r>
            <w:r>
              <w:t xml:space="preserve">makers that the sector had a role and contribution to make to the policy making process.  </w:t>
            </w:r>
          </w:p>
          <w:p w14:paraId="61F1BED9" w14:textId="77777777" w:rsidR="00A7315B" w:rsidRDefault="00A7315B" w:rsidP="00A7315B"/>
          <w:p w14:paraId="12338112" w14:textId="36EC7C75" w:rsidR="000C64F4" w:rsidRDefault="00A7315B" w:rsidP="00D05107">
            <w:r>
              <w:t>Policy</w:t>
            </w:r>
            <w:r w:rsidR="0060372B">
              <w:t>-</w:t>
            </w:r>
            <w:r>
              <w:t xml:space="preserve">makers reported being frustrated by the community and voluntary sector as a result of their constant criticism, the lack of acknowledgement when progress is made and a lack of understanding about how the policy making system works and of its unwritten rules and etiquette.  </w:t>
            </w:r>
          </w:p>
          <w:p w14:paraId="5CEB5B24" w14:textId="77777777" w:rsidR="000C64F4" w:rsidRDefault="000C64F4" w:rsidP="00D05107"/>
          <w:p w14:paraId="4C14587B" w14:textId="296F76E3" w:rsidR="003E705F" w:rsidRPr="006B4408" w:rsidRDefault="000C64F4" w:rsidP="000C64F4">
            <w:r>
              <w:t>I</w:t>
            </w:r>
            <w:r w:rsidRPr="003A6163">
              <w:t xml:space="preserve">n a post-partnership era </w:t>
            </w:r>
            <w:r w:rsidR="001E41EA">
              <w:t xml:space="preserve">opportunities </w:t>
            </w:r>
            <w:r w:rsidR="001E41EA" w:rsidRPr="003A6163">
              <w:t>for</w:t>
            </w:r>
            <w:r w:rsidRPr="003A6163">
              <w:t xml:space="preserve"> policy</w:t>
            </w:r>
            <w:r w:rsidR="0060372B">
              <w:t>-</w:t>
            </w:r>
            <w:r w:rsidRPr="003A6163">
              <w:t xml:space="preserve">makers and representatives from the community and voluntary sector to meet have become more </w:t>
            </w:r>
            <w:r>
              <w:t>limited.</w:t>
            </w:r>
          </w:p>
        </w:tc>
        <w:tc>
          <w:tcPr>
            <w:tcW w:w="6521" w:type="dxa"/>
          </w:tcPr>
          <w:p w14:paraId="43934FCF" w14:textId="77777777" w:rsidR="0027032C" w:rsidRPr="0027032C" w:rsidRDefault="0027032C" w:rsidP="00A7315B">
            <w:pPr>
              <w:pStyle w:val="PlainText"/>
              <w:rPr>
                <w:b/>
              </w:rPr>
            </w:pPr>
            <w:r w:rsidRPr="0027032C">
              <w:rPr>
                <w:b/>
              </w:rPr>
              <w:lastRenderedPageBreak/>
              <w:t xml:space="preserve">Community and voluntary organisations and policy makers </w:t>
            </w:r>
            <w:r w:rsidR="00D86F52">
              <w:rPr>
                <w:b/>
              </w:rPr>
              <w:lastRenderedPageBreak/>
              <w:t xml:space="preserve">challenges are </w:t>
            </w:r>
            <w:r w:rsidRPr="0027032C">
              <w:rPr>
                <w:b/>
              </w:rPr>
              <w:t>to:</w:t>
            </w:r>
            <w:r w:rsidR="00A7315B" w:rsidRPr="0027032C">
              <w:rPr>
                <w:b/>
              </w:rPr>
              <w:t xml:space="preserve"> </w:t>
            </w:r>
          </w:p>
          <w:p w14:paraId="05698BF9" w14:textId="77777777" w:rsidR="003E705F" w:rsidRPr="0027032C" w:rsidRDefault="0027032C" w:rsidP="007C0CDD">
            <w:pPr>
              <w:pStyle w:val="PlainText"/>
              <w:numPr>
                <w:ilvl w:val="0"/>
                <w:numId w:val="20"/>
              </w:numPr>
            </w:pPr>
            <w:r w:rsidRPr="00D05107">
              <w:rPr>
                <w:b/>
              </w:rPr>
              <w:t>D</w:t>
            </w:r>
            <w:r w:rsidR="00A7315B" w:rsidRPr="00D05107">
              <w:rPr>
                <w:b/>
              </w:rPr>
              <w:t>edicate resources to forging more respectful relationships</w:t>
            </w:r>
            <w:r w:rsidR="00A7315B">
              <w:t xml:space="preserve"> between the</w:t>
            </w:r>
            <w:r w:rsidR="00D05107">
              <w:t xml:space="preserve"> two group</w:t>
            </w:r>
            <w:r>
              <w:t>s</w:t>
            </w:r>
          </w:p>
          <w:p w14:paraId="3D2B85C8" w14:textId="77777777" w:rsidR="00D05107" w:rsidRDefault="00D05107" w:rsidP="0027032C">
            <w:pPr>
              <w:pStyle w:val="PlainText"/>
              <w:rPr>
                <w:b/>
              </w:rPr>
            </w:pPr>
          </w:p>
          <w:p w14:paraId="49B81795" w14:textId="77777777" w:rsidR="0027032C" w:rsidRPr="006B4408" w:rsidRDefault="0027032C" w:rsidP="0027032C">
            <w:pPr>
              <w:pStyle w:val="PlainText"/>
              <w:rPr>
                <w:b/>
              </w:rPr>
            </w:pPr>
            <w:r w:rsidRPr="006B4408">
              <w:rPr>
                <w:b/>
              </w:rPr>
              <w:t xml:space="preserve">Community and voluntary organisations </w:t>
            </w:r>
            <w:r w:rsidR="00D86F52">
              <w:rPr>
                <w:b/>
              </w:rPr>
              <w:t xml:space="preserve">challenges are </w:t>
            </w:r>
            <w:r w:rsidRPr="006B4408">
              <w:rPr>
                <w:b/>
              </w:rPr>
              <w:t>to:</w:t>
            </w:r>
          </w:p>
          <w:p w14:paraId="366D855F" w14:textId="77777777" w:rsidR="007502AA" w:rsidRDefault="0027032C" w:rsidP="007C0CDD">
            <w:pPr>
              <w:pStyle w:val="PlainText"/>
              <w:numPr>
                <w:ilvl w:val="0"/>
                <w:numId w:val="20"/>
              </w:numPr>
            </w:pPr>
            <w:r w:rsidRPr="00D05107">
              <w:rPr>
                <w:b/>
              </w:rPr>
              <w:t>I</w:t>
            </w:r>
            <w:r w:rsidR="007502AA" w:rsidRPr="00D05107">
              <w:rPr>
                <w:b/>
              </w:rPr>
              <w:t>nvest time in building relations with the media and others</w:t>
            </w:r>
            <w:r w:rsidR="007502AA">
              <w:t xml:space="preserve"> </w:t>
            </w:r>
          </w:p>
          <w:p w14:paraId="4BC854D7" w14:textId="77777777" w:rsidR="00D05107" w:rsidRDefault="00D05107" w:rsidP="00D05107">
            <w:pPr>
              <w:pStyle w:val="PlainText"/>
              <w:rPr>
                <w:rFonts w:asciiTheme="minorHAnsi" w:hAnsiTheme="minorHAnsi"/>
                <w:szCs w:val="22"/>
              </w:rPr>
            </w:pPr>
          </w:p>
          <w:p w14:paraId="5F6B9EB6" w14:textId="77777777" w:rsidR="000C64F4" w:rsidRPr="006B4408" w:rsidRDefault="000C64F4" w:rsidP="000C64F4">
            <w:pPr>
              <w:pStyle w:val="PlainText"/>
              <w:rPr>
                <w:b/>
              </w:rPr>
            </w:pPr>
            <w:r w:rsidRPr="006B4408">
              <w:rPr>
                <w:b/>
              </w:rPr>
              <w:t xml:space="preserve">Policy makers and influencers </w:t>
            </w:r>
            <w:r w:rsidR="00D86F52">
              <w:rPr>
                <w:b/>
              </w:rPr>
              <w:t xml:space="preserve">challenges are </w:t>
            </w:r>
            <w:r w:rsidRPr="006B4408">
              <w:rPr>
                <w:b/>
              </w:rPr>
              <w:t xml:space="preserve">to: </w:t>
            </w:r>
          </w:p>
          <w:p w14:paraId="3EB48775" w14:textId="77777777" w:rsidR="000C64F4" w:rsidRPr="000C64F4" w:rsidRDefault="000C64F4" w:rsidP="007C0CDD">
            <w:pPr>
              <w:pStyle w:val="Pa0"/>
              <w:numPr>
                <w:ilvl w:val="0"/>
                <w:numId w:val="20"/>
              </w:numPr>
              <w:rPr>
                <w:rFonts w:asciiTheme="minorHAnsi" w:hAnsiTheme="minorHAnsi"/>
                <w:sz w:val="22"/>
                <w:szCs w:val="22"/>
              </w:rPr>
            </w:pPr>
            <w:r>
              <w:rPr>
                <w:rFonts w:ascii="Calibri" w:hAnsi="Calibri"/>
                <w:b/>
                <w:sz w:val="22"/>
                <w:szCs w:val="21"/>
              </w:rPr>
              <w:t>C</w:t>
            </w:r>
            <w:r w:rsidR="00D05107" w:rsidRPr="000C64F4">
              <w:rPr>
                <w:rFonts w:ascii="Calibri" w:hAnsi="Calibri"/>
                <w:b/>
                <w:sz w:val="22"/>
                <w:szCs w:val="21"/>
              </w:rPr>
              <w:t xml:space="preserve">reate some new spaces </w:t>
            </w:r>
            <w:r w:rsidR="00D05107" w:rsidRPr="000C64F4">
              <w:rPr>
                <w:rFonts w:ascii="Calibri" w:hAnsi="Calibri"/>
                <w:sz w:val="22"/>
                <w:szCs w:val="21"/>
              </w:rPr>
              <w:t>to facilitate engagement</w:t>
            </w:r>
            <w:r w:rsidRPr="000C64F4">
              <w:rPr>
                <w:rFonts w:ascii="Calibri" w:hAnsi="Calibri"/>
                <w:sz w:val="22"/>
                <w:szCs w:val="21"/>
              </w:rPr>
              <w:t xml:space="preserve"> with the community and voluntary sector</w:t>
            </w:r>
          </w:p>
          <w:p w14:paraId="2EBD5717" w14:textId="77777777" w:rsidR="00D05107" w:rsidRPr="000C64F4" w:rsidRDefault="000C64F4" w:rsidP="007C0CDD">
            <w:pPr>
              <w:pStyle w:val="Pa0"/>
              <w:numPr>
                <w:ilvl w:val="0"/>
                <w:numId w:val="20"/>
              </w:numPr>
              <w:rPr>
                <w:rFonts w:asciiTheme="minorHAnsi" w:hAnsiTheme="minorHAnsi"/>
                <w:sz w:val="22"/>
                <w:szCs w:val="22"/>
              </w:rPr>
            </w:pPr>
            <w:r w:rsidRPr="000C64F4">
              <w:rPr>
                <w:rFonts w:asciiTheme="minorHAnsi" w:hAnsiTheme="minorHAnsi"/>
                <w:b/>
                <w:sz w:val="22"/>
                <w:szCs w:val="22"/>
              </w:rPr>
              <w:t>B</w:t>
            </w:r>
            <w:r w:rsidR="00D05107" w:rsidRPr="000C64F4">
              <w:rPr>
                <w:rFonts w:asciiTheme="minorHAnsi" w:hAnsiTheme="minorHAnsi"/>
                <w:b/>
                <w:sz w:val="22"/>
                <w:szCs w:val="22"/>
              </w:rPr>
              <w:t>e open to doing things differently</w:t>
            </w:r>
            <w:r w:rsidR="00D05107" w:rsidRPr="00347461">
              <w:rPr>
                <w:rFonts w:asciiTheme="minorHAnsi" w:hAnsiTheme="minorHAnsi"/>
                <w:sz w:val="22"/>
                <w:szCs w:val="22"/>
              </w:rPr>
              <w:t xml:space="preserve">, and adopting more innovative approaches to policy implementation and development.   </w:t>
            </w:r>
          </w:p>
        </w:tc>
      </w:tr>
      <w:tr w:rsidR="003E705F" w:rsidRPr="006B4408" w14:paraId="6E32CFC6" w14:textId="77777777" w:rsidTr="00BB6057">
        <w:tc>
          <w:tcPr>
            <w:tcW w:w="1384" w:type="dxa"/>
          </w:tcPr>
          <w:p w14:paraId="3F408571" w14:textId="77777777" w:rsidR="00A7315B" w:rsidRPr="006B4408" w:rsidRDefault="00A7315B" w:rsidP="00A7315B">
            <w:pPr>
              <w:pStyle w:val="PlainText"/>
              <w:rPr>
                <w:b/>
              </w:rPr>
            </w:pPr>
            <w:r w:rsidRPr="006B4408">
              <w:rPr>
                <w:b/>
              </w:rPr>
              <w:lastRenderedPageBreak/>
              <w:t>Capacity</w:t>
            </w:r>
          </w:p>
          <w:p w14:paraId="294C1219" w14:textId="77777777" w:rsidR="003E705F" w:rsidRPr="006B4408" w:rsidRDefault="003E705F" w:rsidP="003F36EE">
            <w:pPr>
              <w:pStyle w:val="PlainText"/>
              <w:rPr>
                <w:b/>
              </w:rPr>
            </w:pPr>
          </w:p>
        </w:tc>
        <w:tc>
          <w:tcPr>
            <w:tcW w:w="6237" w:type="dxa"/>
          </w:tcPr>
          <w:p w14:paraId="665F1EF3" w14:textId="67FA3268" w:rsidR="003E705F" w:rsidRPr="006B4408" w:rsidRDefault="00CD79EE" w:rsidP="003F36EE">
            <w:pPr>
              <w:pStyle w:val="PlainText"/>
            </w:pPr>
            <w:r>
              <w:t>S</w:t>
            </w:r>
            <w:r w:rsidR="003E705F" w:rsidRPr="006B4408">
              <w:t>kills and knowledge deficits were identified within the community and voluntary sector in relation to their understanding of:</w:t>
            </w:r>
          </w:p>
          <w:p w14:paraId="6A333042" w14:textId="3430A8E6" w:rsidR="003E705F" w:rsidRPr="006B4408" w:rsidRDefault="003E705F" w:rsidP="007C0CDD">
            <w:pPr>
              <w:pStyle w:val="PlainText"/>
              <w:numPr>
                <w:ilvl w:val="0"/>
                <w:numId w:val="16"/>
              </w:numPr>
            </w:pPr>
            <w:r w:rsidRPr="006B4408">
              <w:t>the policy making system</w:t>
            </w:r>
          </w:p>
          <w:p w14:paraId="48CF47F7" w14:textId="77777777" w:rsidR="003E705F" w:rsidRPr="006B4408" w:rsidRDefault="003E705F" w:rsidP="007C0CDD">
            <w:pPr>
              <w:pStyle w:val="PlainText"/>
              <w:numPr>
                <w:ilvl w:val="0"/>
                <w:numId w:val="16"/>
              </w:numPr>
            </w:pPr>
            <w:r w:rsidRPr="006B4408">
              <w:t xml:space="preserve">strategic planning </w:t>
            </w:r>
          </w:p>
          <w:p w14:paraId="5308AF76" w14:textId="77777777" w:rsidR="003E705F" w:rsidRDefault="003E705F" w:rsidP="007C0CDD">
            <w:pPr>
              <w:pStyle w:val="PlainText"/>
              <w:numPr>
                <w:ilvl w:val="0"/>
                <w:numId w:val="16"/>
              </w:numPr>
            </w:pPr>
            <w:r w:rsidRPr="006B4408">
              <w:t xml:space="preserve">advocacy techniques </w:t>
            </w:r>
            <w:r w:rsidR="007502AA">
              <w:t>(including how the voice of their members and service users can be used more in advocacy work)</w:t>
            </w:r>
          </w:p>
          <w:p w14:paraId="2C50BF73" w14:textId="77777777" w:rsidR="007502AA" w:rsidRPr="006B4408" w:rsidRDefault="007502AA" w:rsidP="0027032C">
            <w:r>
              <w:t xml:space="preserve">Resources are required to address these deficits and to ensure that the sector can advocate effectively.   </w:t>
            </w:r>
          </w:p>
        </w:tc>
        <w:tc>
          <w:tcPr>
            <w:tcW w:w="6521" w:type="dxa"/>
          </w:tcPr>
          <w:p w14:paraId="30CD691C" w14:textId="77777777" w:rsidR="007502AA" w:rsidRPr="006B4408" w:rsidRDefault="007502AA" w:rsidP="007502AA">
            <w:pPr>
              <w:pStyle w:val="PlainText"/>
              <w:rPr>
                <w:b/>
              </w:rPr>
            </w:pPr>
            <w:r w:rsidRPr="006B4408">
              <w:rPr>
                <w:b/>
              </w:rPr>
              <w:t xml:space="preserve">Community and voluntary organisations </w:t>
            </w:r>
            <w:r w:rsidR="00D86F52">
              <w:rPr>
                <w:b/>
              </w:rPr>
              <w:t xml:space="preserve">challenges are </w:t>
            </w:r>
            <w:r w:rsidRPr="006B4408">
              <w:rPr>
                <w:b/>
              </w:rPr>
              <w:t>to:</w:t>
            </w:r>
          </w:p>
          <w:p w14:paraId="534611D7" w14:textId="77777777" w:rsidR="007502AA" w:rsidRDefault="007502AA" w:rsidP="007C0CDD">
            <w:pPr>
              <w:pStyle w:val="PlainText"/>
              <w:numPr>
                <w:ilvl w:val="0"/>
                <w:numId w:val="20"/>
              </w:numPr>
            </w:pPr>
            <w:r>
              <w:t>A</w:t>
            </w:r>
            <w:r w:rsidR="003E705F" w:rsidRPr="006B4408">
              <w:t xml:space="preserve">ddress </w:t>
            </w:r>
            <w:r>
              <w:t xml:space="preserve">resource and skills </w:t>
            </w:r>
            <w:r w:rsidR="003E705F" w:rsidRPr="006B4408">
              <w:t xml:space="preserve">deficits and to ensure that the sector can advocate effectively.   </w:t>
            </w:r>
          </w:p>
          <w:p w14:paraId="77F12CB6" w14:textId="77777777" w:rsidR="007502AA" w:rsidRDefault="007502AA" w:rsidP="007C0CDD">
            <w:pPr>
              <w:pStyle w:val="PlainText"/>
              <w:numPr>
                <w:ilvl w:val="0"/>
                <w:numId w:val="20"/>
              </w:numPr>
            </w:pPr>
            <w:r>
              <w:t xml:space="preserve">Work to establish </w:t>
            </w:r>
            <w:r w:rsidR="003E705F" w:rsidRPr="006B4408">
              <w:t xml:space="preserve">a continuing professional development programme </w:t>
            </w:r>
          </w:p>
          <w:p w14:paraId="7A4D344E" w14:textId="77777777" w:rsidR="003E705F" w:rsidRDefault="007502AA" w:rsidP="007C0CDD">
            <w:pPr>
              <w:pStyle w:val="PlainText"/>
              <w:numPr>
                <w:ilvl w:val="0"/>
                <w:numId w:val="20"/>
              </w:numPr>
            </w:pPr>
            <w:r>
              <w:t>Be more proactive and strategic in the way that it approaches social justice advocacy</w:t>
            </w:r>
          </w:p>
          <w:p w14:paraId="245247EA" w14:textId="49CC4F81" w:rsidR="00C72400" w:rsidRDefault="00C72400" w:rsidP="00C72400">
            <w:pPr>
              <w:pStyle w:val="PlainText"/>
              <w:rPr>
                <w:b/>
              </w:rPr>
            </w:pPr>
            <w:r w:rsidRPr="00C72400">
              <w:rPr>
                <w:b/>
              </w:rPr>
              <w:t>P</w:t>
            </w:r>
            <w:r w:rsidR="00A9696C" w:rsidRPr="00C72400">
              <w:rPr>
                <w:b/>
              </w:rPr>
              <w:t>olicy</w:t>
            </w:r>
            <w:r w:rsidR="00BF2867">
              <w:rPr>
                <w:b/>
              </w:rPr>
              <w:t>-</w:t>
            </w:r>
            <w:r w:rsidR="00A9696C" w:rsidRPr="00C72400">
              <w:rPr>
                <w:b/>
              </w:rPr>
              <w:t>makers</w:t>
            </w:r>
            <w:r w:rsidRPr="00C72400">
              <w:rPr>
                <w:b/>
              </w:rPr>
              <w:t xml:space="preserve"> challenges are to</w:t>
            </w:r>
            <w:r>
              <w:rPr>
                <w:b/>
              </w:rPr>
              <w:t>:</w:t>
            </w:r>
          </w:p>
          <w:p w14:paraId="7EDC8DA4" w14:textId="736CCBC6" w:rsidR="00A9696C" w:rsidRPr="00C72400" w:rsidRDefault="00C72400" w:rsidP="007C0CDD">
            <w:pPr>
              <w:pStyle w:val="PlainText"/>
              <w:numPr>
                <w:ilvl w:val="0"/>
                <w:numId w:val="20"/>
              </w:numPr>
              <w:rPr>
                <w:b/>
              </w:rPr>
            </w:pPr>
            <w:r w:rsidRPr="00C72400">
              <w:t>Investigate whether if might be possible to do things differently and adopt more innovative approaches to both policy development and policy implementation</w:t>
            </w:r>
            <w:r>
              <w:rPr>
                <w:b/>
              </w:rPr>
              <w:t xml:space="preserve"> </w:t>
            </w:r>
          </w:p>
        </w:tc>
      </w:tr>
      <w:tr w:rsidR="003E705F" w:rsidRPr="006B4408" w14:paraId="173FDB68" w14:textId="77777777" w:rsidTr="00BB6057">
        <w:tc>
          <w:tcPr>
            <w:tcW w:w="1384" w:type="dxa"/>
          </w:tcPr>
          <w:p w14:paraId="2E59E13B" w14:textId="039D9DCD" w:rsidR="00A7315B" w:rsidRPr="006B4408" w:rsidRDefault="00A7315B" w:rsidP="00A7315B">
            <w:pPr>
              <w:pStyle w:val="PlainText"/>
              <w:rPr>
                <w:b/>
              </w:rPr>
            </w:pPr>
            <w:r w:rsidRPr="006B4408">
              <w:rPr>
                <w:b/>
              </w:rPr>
              <w:t>Effective Strategies</w:t>
            </w:r>
          </w:p>
          <w:p w14:paraId="4922697A" w14:textId="77777777" w:rsidR="003E705F" w:rsidRPr="006B4408" w:rsidRDefault="003E705F" w:rsidP="003F36EE">
            <w:pPr>
              <w:pStyle w:val="PlainText"/>
              <w:rPr>
                <w:b/>
              </w:rPr>
            </w:pPr>
          </w:p>
        </w:tc>
        <w:tc>
          <w:tcPr>
            <w:tcW w:w="6237" w:type="dxa"/>
          </w:tcPr>
          <w:p w14:paraId="48354D61" w14:textId="77777777" w:rsidR="003E705F" w:rsidRPr="002E1033" w:rsidRDefault="003E705F" w:rsidP="003F36EE">
            <w:pPr>
              <w:pStyle w:val="PlainText"/>
            </w:pPr>
            <w:r w:rsidRPr="002E1033">
              <w:t xml:space="preserve">There is a lack of clarity in relation to what constitutes effective and impactful social justice advocacy work.  </w:t>
            </w:r>
          </w:p>
          <w:p w14:paraId="3FE656D5" w14:textId="77777777" w:rsidR="003E705F" w:rsidRPr="002E1033" w:rsidRDefault="003E705F" w:rsidP="003F36EE">
            <w:pPr>
              <w:pStyle w:val="PlainText"/>
            </w:pPr>
          </w:p>
          <w:p w14:paraId="029E05FF" w14:textId="77777777" w:rsidR="003E705F" w:rsidRPr="002E1033" w:rsidRDefault="003E705F" w:rsidP="003F36EE">
            <w:pPr>
              <w:pStyle w:val="PlainText"/>
            </w:pPr>
            <w:r w:rsidRPr="002E1033">
              <w:t>The sector is not proactive nor strategic enough in the way that it approaches its social justice advocacy work</w:t>
            </w:r>
          </w:p>
          <w:p w14:paraId="0358A83C" w14:textId="77777777" w:rsidR="003E705F" w:rsidRPr="002E1033" w:rsidRDefault="003E705F" w:rsidP="003F36EE">
            <w:pPr>
              <w:pStyle w:val="PlainText"/>
            </w:pPr>
          </w:p>
          <w:p w14:paraId="7B3AB9CC" w14:textId="3E12DA6F" w:rsidR="003E705F" w:rsidRPr="002E1033" w:rsidRDefault="003E705F" w:rsidP="003F36EE">
            <w:pPr>
              <w:pStyle w:val="PlainText"/>
            </w:pPr>
            <w:r w:rsidRPr="002E1033">
              <w:t xml:space="preserve">The focus of </w:t>
            </w:r>
            <w:r w:rsidR="00BF2867">
              <w:t>T</w:t>
            </w:r>
            <w:r w:rsidRPr="002E1033">
              <w:t xml:space="preserve">he Advocacy Initiative has been on the application and use of insider approaches, but there is also scope for the </w:t>
            </w:r>
            <w:r w:rsidRPr="002E1033">
              <w:lastRenderedPageBreak/>
              <w:t>selective use of more outsider approaches</w:t>
            </w:r>
            <w:r w:rsidR="00CD79EE">
              <w:t xml:space="preserve">. </w:t>
            </w:r>
            <w:r w:rsidRPr="002E1033">
              <w:t xml:space="preserve"> The challenge is to find the balance between insider and outsider strategies</w:t>
            </w:r>
          </w:p>
        </w:tc>
        <w:tc>
          <w:tcPr>
            <w:tcW w:w="6521" w:type="dxa"/>
          </w:tcPr>
          <w:p w14:paraId="16F6BA31" w14:textId="77777777" w:rsidR="003E705F" w:rsidRPr="006B4408" w:rsidRDefault="003E705F" w:rsidP="003F36EE">
            <w:pPr>
              <w:pStyle w:val="PlainText"/>
              <w:rPr>
                <w:b/>
              </w:rPr>
            </w:pPr>
            <w:r w:rsidRPr="006B4408">
              <w:rPr>
                <w:b/>
              </w:rPr>
              <w:lastRenderedPageBreak/>
              <w:t xml:space="preserve">Community and voluntary organisations </w:t>
            </w:r>
            <w:r w:rsidR="00D86F52">
              <w:rPr>
                <w:b/>
              </w:rPr>
              <w:t>challenges include consideration of</w:t>
            </w:r>
            <w:r w:rsidRPr="006B4408">
              <w:rPr>
                <w:b/>
              </w:rPr>
              <w:t>:</w:t>
            </w:r>
          </w:p>
          <w:p w14:paraId="1251B482" w14:textId="77777777" w:rsidR="003E705F" w:rsidRPr="006B4408" w:rsidRDefault="003E705F" w:rsidP="007C0CDD">
            <w:pPr>
              <w:pStyle w:val="PlainText"/>
              <w:numPr>
                <w:ilvl w:val="0"/>
                <w:numId w:val="19"/>
              </w:numPr>
            </w:pPr>
            <w:r w:rsidRPr="006B4408">
              <w:t>The</w:t>
            </w:r>
            <w:r w:rsidRPr="006B4408">
              <w:rPr>
                <w:b/>
              </w:rPr>
              <w:t xml:space="preserve"> </w:t>
            </w:r>
            <w:r w:rsidRPr="006B4408">
              <w:t>need for greater coherence, linked to more coordination, alliance working and the consolidation of organisations</w:t>
            </w:r>
          </w:p>
          <w:p w14:paraId="6386965F" w14:textId="77777777" w:rsidR="003E705F" w:rsidRPr="006B4408" w:rsidRDefault="003E705F" w:rsidP="007C0CDD">
            <w:pPr>
              <w:pStyle w:val="PlainText"/>
              <w:numPr>
                <w:ilvl w:val="0"/>
                <w:numId w:val="19"/>
              </w:numPr>
              <w:rPr>
                <w:b/>
              </w:rPr>
            </w:pPr>
            <w:r w:rsidRPr="006B4408">
              <w:t>The need for innovation and innovative approaches to influencing</w:t>
            </w:r>
            <w:r w:rsidRPr="006B4408">
              <w:rPr>
                <w:lang w:val="en-US"/>
              </w:rPr>
              <w:t xml:space="preserve"> policy</w:t>
            </w:r>
          </w:p>
          <w:p w14:paraId="3D43AEBA" w14:textId="541C63DC" w:rsidR="003E705F" w:rsidRPr="006B4408" w:rsidRDefault="003E705F" w:rsidP="007C0CDD">
            <w:pPr>
              <w:pStyle w:val="PlainText"/>
              <w:numPr>
                <w:ilvl w:val="0"/>
                <w:numId w:val="19"/>
              </w:numPr>
              <w:rPr>
                <w:b/>
              </w:rPr>
            </w:pPr>
            <w:r w:rsidRPr="006B4408">
              <w:rPr>
                <w:lang w:val="en-US"/>
              </w:rPr>
              <w:t>In the conte</w:t>
            </w:r>
            <w:r w:rsidR="00CD79EE">
              <w:rPr>
                <w:lang w:val="en-US"/>
              </w:rPr>
              <w:t>x</w:t>
            </w:r>
            <w:r w:rsidRPr="006B4408">
              <w:rPr>
                <w:lang w:val="en-US"/>
              </w:rPr>
              <w:t xml:space="preserve">t of </w:t>
            </w:r>
            <w:proofErr w:type="spellStart"/>
            <w:r w:rsidRPr="006B4408">
              <w:rPr>
                <w:lang w:val="en-US"/>
              </w:rPr>
              <w:t>i</w:t>
            </w:r>
            <w:r w:rsidRPr="006B4408">
              <w:t>ncreasingly</w:t>
            </w:r>
            <w:proofErr w:type="spellEnd"/>
            <w:r w:rsidRPr="006B4408">
              <w:t xml:space="preserve"> limited civil society </w:t>
            </w:r>
            <w:r w:rsidR="00BF2867">
              <w:t>‘</w:t>
            </w:r>
            <w:r w:rsidRPr="006B4408">
              <w:t>space</w:t>
            </w:r>
            <w:r w:rsidR="00BF2867">
              <w:t>’</w:t>
            </w:r>
            <w:r w:rsidRPr="006B4408">
              <w:t xml:space="preserve"> the sector needs to continue to find ways to meet, network and  </w:t>
            </w:r>
            <w:r w:rsidRPr="006B4408">
              <w:lastRenderedPageBreak/>
              <w:t xml:space="preserve">work together </w:t>
            </w:r>
          </w:p>
          <w:p w14:paraId="6892E4D8" w14:textId="7AD1395F" w:rsidR="003E705F" w:rsidRPr="006B4408" w:rsidRDefault="003E705F" w:rsidP="007C0CDD">
            <w:pPr>
              <w:pStyle w:val="PlainText"/>
              <w:numPr>
                <w:ilvl w:val="0"/>
                <w:numId w:val="19"/>
              </w:numPr>
              <w:rPr>
                <w:b/>
              </w:rPr>
            </w:pPr>
            <w:r w:rsidRPr="006B4408">
              <w:rPr>
                <w:lang w:val="en-US"/>
              </w:rPr>
              <w:t xml:space="preserve">The Advocacy Initiative’s </w:t>
            </w:r>
            <w:r w:rsidR="00CD79EE">
              <w:rPr>
                <w:lang w:val="en-US"/>
              </w:rPr>
              <w:t>‘Assess your Advocacy’ t</w:t>
            </w:r>
            <w:r w:rsidRPr="006B4408">
              <w:rPr>
                <w:lang w:val="en-US"/>
              </w:rPr>
              <w:t xml:space="preserve">ool and </w:t>
            </w:r>
            <w:r w:rsidR="00CD79EE">
              <w:rPr>
                <w:lang w:val="en-US"/>
              </w:rPr>
              <w:t>the tool for developing e</w:t>
            </w:r>
            <w:r w:rsidR="00CD79EE" w:rsidRPr="006B4408">
              <w:rPr>
                <w:lang w:val="en-US"/>
              </w:rPr>
              <w:t xml:space="preserve">valuation </w:t>
            </w:r>
            <w:r w:rsidR="00CD79EE">
              <w:rPr>
                <w:lang w:val="en-US"/>
              </w:rPr>
              <w:t>i</w:t>
            </w:r>
            <w:r w:rsidRPr="006B4408">
              <w:rPr>
                <w:lang w:val="en-US"/>
              </w:rPr>
              <w:t xml:space="preserve">ndicators should provide the sector with useful </w:t>
            </w:r>
            <w:r w:rsidR="00CD79EE">
              <w:rPr>
                <w:lang w:val="en-US"/>
              </w:rPr>
              <w:t>resources</w:t>
            </w:r>
            <w:r w:rsidRPr="006B4408">
              <w:rPr>
                <w:lang w:val="en-US"/>
              </w:rPr>
              <w:t xml:space="preserve"> in this context</w:t>
            </w:r>
          </w:p>
          <w:p w14:paraId="6662130D" w14:textId="77777777" w:rsidR="000C64F4" w:rsidRDefault="000C64F4" w:rsidP="003F36EE">
            <w:pPr>
              <w:pStyle w:val="PlainText"/>
              <w:rPr>
                <w:b/>
              </w:rPr>
            </w:pPr>
          </w:p>
          <w:p w14:paraId="5B81B8BB" w14:textId="602FBEB8" w:rsidR="003E705F" w:rsidRPr="006B4408" w:rsidRDefault="003E705F" w:rsidP="003F36EE">
            <w:pPr>
              <w:pStyle w:val="PlainText"/>
              <w:rPr>
                <w:b/>
              </w:rPr>
            </w:pPr>
            <w:r w:rsidRPr="006B4408">
              <w:rPr>
                <w:b/>
              </w:rPr>
              <w:t>Policy</w:t>
            </w:r>
            <w:r w:rsidR="00BF2867">
              <w:rPr>
                <w:b/>
              </w:rPr>
              <w:t>-</w:t>
            </w:r>
            <w:r w:rsidRPr="006B4408">
              <w:rPr>
                <w:b/>
              </w:rPr>
              <w:t>makers</w:t>
            </w:r>
            <w:r w:rsidRPr="006B4408">
              <w:rPr>
                <w:lang w:val="en-US"/>
              </w:rPr>
              <w:t xml:space="preserve"> </w:t>
            </w:r>
            <w:r w:rsidRPr="006B4408">
              <w:rPr>
                <w:b/>
              </w:rPr>
              <w:t xml:space="preserve">and influencers </w:t>
            </w:r>
            <w:r w:rsidR="00D86F52">
              <w:rPr>
                <w:b/>
              </w:rPr>
              <w:t xml:space="preserve">challenges are </w:t>
            </w:r>
            <w:r w:rsidRPr="006B4408">
              <w:rPr>
                <w:b/>
              </w:rPr>
              <w:t xml:space="preserve">to: </w:t>
            </w:r>
          </w:p>
          <w:p w14:paraId="1A98C410" w14:textId="77777777" w:rsidR="003E705F" w:rsidRPr="006B4408" w:rsidRDefault="003E705F" w:rsidP="007C0CDD">
            <w:pPr>
              <w:pStyle w:val="PlainText"/>
              <w:numPr>
                <w:ilvl w:val="0"/>
                <w:numId w:val="19"/>
              </w:numPr>
            </w:pPr>
            <w:r w:rsidRPr="006B4408">
              <w:t xml:space="preserve">Encourage and support the development of coalitions. </w:t>
            </w:r>
          </w:p>
          <w:p w14:paraId="71A66364" w14:textId="77777777" w:rsidR="003E705F" w:rsidRPr="006B4408" w:rsidRDefault="003E705F" w:rsidP="007C0CDD">
            <w:pPr>
              <w:pStyle w:val="PlainText"/>
              <w:numPr>
                <w:ilvl w:val="0"/>
                <w:numId w:val="19"/>
              </w:numPr>
            </w:pPr>
            <w:r w:rsidRPr="006B4408">
              <w:t xml:space="preserve">Be open to doing things differently and to having things done differently </w:t>
            </w:r>
          </w:p>
        </w:tc>
      </w:tr>
      <w:tr w:rsidR="003E705F" w:rsidRPr="006B4408" w14:paraId="6EE07328" w14:textId="77777777" w:rsidTr="00BB6057">
        <w:tc>
          <w:tcPr>
            <w:tcW w:w="1384" w:type="dxa"/>
          </w:tcPr>
          <w:p w14:paraId="07D0E3CD" w14:textId="77777777" w:rsidR="00A7315B" w:rsidRPr="006B4408" w:rsidRDefault="00A7315B" w:rsidP="00A7315B">
            <w:pPr>
              <w:pStyle w:val="PlainText"/>
              <w:rPr>
                <w:b/>
              </w:rPr>
            </w:pPr>
            <w:r w:rsidRPr="006B4408">
              <w:rPr>
                <w:b/>
              </w:rPr>
              <w:lastRenderedPageBreak/>
              <w:t xml:space="preserve">Independence &amp; resources </w:t>
            </w:r>
          </w:p>
          <w:p w14:paraId="73BFD9BB" w14:textId="77777777" w:rsidR="003E705F" w:rsidRPr="006B4408" w:rsidRDefault="003E705F" w:rsidP="003F36EE">
            <w:pPr>
              <w:pStyle w:val="PlainText"/>
              <w:rPr>
                <w:b/>
              </w:rPr>
            </w:pPr>
          </w:p>
        </w:tc>
        <w:tc>
          <w:tcPr>
            <w:tcW w:w="6237" w:type="dxa"/>
          </w:tcPr>
          <w:p w14:paraId="2210C5DC" w14:textId="00D91D35" w:rsidR="006B1CA7" w:rsidRPr="002E1033" w:rsidRDefault="003E705F" w:rsidP="006B1CA7">
            <w:pPr>
              <w:autoSpaceDE w:val="0"/>
              <w:autoSpaceDN w:val="0"/>
              <w:adjustRightInd w:val="0"/>
            </w:pPr>
            <w:r w:rsidRPr="002E1033">
              <w:t xml:space="preserve">The case as to why the state should fund the community and voluntary sector </w:t>
            </w:r>
            <w:r w:rsidR="006B1CA7" w:rsidRPr="002E1033">
              <w:t xml:space="preserve">social justice advocacy work is </w:t>
            </w:r>
            <w:proofErr w:type="spellStart"/>
            <w:r w:rsidR="006B1CA7" w:rsidRPr="002E1033">
              <w:t>centered</w:t>
            </w:r>
            <w:proofErr w:type="spellEnd"/>
            <w:r w:rsidR="006B1CA7" w:rsidRPr="002E1033">
              <w:t xml:space="preserve"> </w:t>
            </w:r>
            <w:r w:rsidR="00BB6057">
              <w:t>around the belief</w:t>
            </w:r>
            <w:r w:rsidR="006B1CA7" w:rsidRPr="002E1033">
              <w:t xml:space="preserve"> that this work has the capacity to:</w:t>
            </w:r>
          </w:p>
          <w:p w14:paraId="78834430" w14:textId="77777777" w:rsidR="006B1CA7" w:rsidRPr="002E1033" w:rsidRDefault="00D86F52" w:rsidP="007C0CDD">
            <w:pPr>
              <w:pStyle w:val="ListParagraph"/>
              <w:numPr>
                <w:ilvl w:val="0"/>
                <w:numId w:val="18"/>
              </w:numPr>
              <w:autoSpaceDE w:val="0"/>
              <w:autoSpaceDN w:val="0"/>
              <w:adjustRightInd w:val="0"/>
            </w:pPr>
            <w:r>
              <w:t>Mobilise citizens,</w:t>
            </w:r>
            <w:r w:rsidR="006B1CA7" w:rsidRPr="002E1033">
              <w:t xml:space="preserve"> channel</w:t>
            </w:r>
            <w:r>
              <w:t xml:space="preserve"> participation and promote</w:t>
            </w:r>
            <w:r w:rsidR="006B1CA7" w:rsidRPr="002E1033">
              <w:t xml:space="preserve"> cohesion</w:t>
            </w:r>
          </w:p>
          <w:p w14:paraId="5EDBD946" w14:textId="77777777" w:rsidR="006B1CA7" w:rsidRPr="002E1033" w:rsidRDefault="006B1CA7" w:rsidP="007C0CDD">
            <w:pPr>
              <w:pStyle w:val="ListParagraph"/>
              <w:numPr>
                <w:ilvl w:val="0"/>
                <w:numId w:val="18"/>
              </w:numPr>
              <w:autoSpaceDE w:val="0"/>
              <w:autoSpaceDN w:val="0"/>
              <w:adjustRightInd w:val="0"/>
            </w:pPr>
            <w:r w:rsidRPr="002E1033">
              <w:t xml:space="preserve">Improve policies: </w:t>
            </w:r>
            <w:r w:rsidR="00D86F52">
              <w:t xml:space="preserve">by </w:t>
            </w:r>
            <w:r w:rsidRPr="002E1033">
              <w:t xml:space="preserve">bringing additional </w:t>
            </w:r>
            <w:r w:rsidR="000C64F4" w:rsidRPr="002E1033">
              <w:t>information</w:t>
            </w:r>
            <w:r w:rsidR="00BB6057">
              <w:t xml:space="preserve">, expertise </w:t>
            </w:r>
            <w:r w:rsidRPr="002E1033">
              <w:t xml:space="preserve"> </w:t>
            </w:r>
            <w:r w:rsidR="00D86F52">
              <w:t>and solutions to government</w:t>
            </w:r>
          </w:p>
          <w:p w14:paraId="332B4BBD" w14:textId="77777777" w:rsidR="006B1CA7" w:rsidRPr="002E1033" w:rsidRDefault="006B1CA7" w:rsidP="007C0CDD">
            <w:pPr>
              <w:pStyle w:val="ListParagraph"/>
              <w:numPr>
                <w:ilvl w:val="0"/>
                <w:numId w:val="18"/>
              </w:numPr>
              <w:autoSpaceDE w:val="0"/>
              <w:autoSpaceDN w:val="0"/>
              <w:adjustRightInd w:val="0"/>
            </w:pPr>
            <w:r w:rsidRPr="002E1033">
              <w:t>Promote a longer-term perspective beyond the five-yea</w:t>
            </w:r>
            <w:r w:rsidR="00D86F52">
              <w:t>r electoral cycle of government</w:t>
            </w:r>
          </w:p>
          <w:p w14:paraId="1F056E6C" w14:textId="77777777" w:rsidR="006B1CA7" w:rsidRPr="002E1033" w:rsidRDefault="006B1CA7" w:rsidP="007C0CDD">
            <w:pPr>
              <w:pStyle w:val="ListParagraph"/>
              <w:numPr>
                <w:ilvl w:val="0"/>
                <w:numId w:val="18"/>
              </w:numPr>
              <w:autoSpaceDE w:val="0"/>
              <w:autoSpaceDN w:val="0"/>
              <w:adjustRightInd w:val="0"/>
            </w:pPr>
            <w:r w:rsidRPr="002E1033">
              <w:t>Act as watchdogs of accountability improving both the surveillance and accountability of government.</w:t>
            </w:r>
          </w:p>
          <w:p w14:paraId="2E69FA21" w14:textId="77777777" w:rsidR="006B1CA7" w:rsidRPr="002E1033" w:rsidRDefault="006B1CA7" w:rsidP="007C0CDD">
            <w:pPr>
              <w:pStyle w:val="ListParagraph"/>
              <w:numPr>
                <w:ilvl w:val="0"/>
                <w:numId w:val="17"/>
              </w:numPr>
              <w:autoSpaceDE w:val="0"/>
              <w:autoSpaceDN w:val="0"/>
              <w:adjustRightInd w:val="0"/>
            </w:pPr>
            <w:r w:rsidRPr="002E1033">
              <w:t>Enable minority views to be heard</w:t>
            </w:r>
          </w:p>
          <w:p w14:paraId="32AD961C" w14:textId="77777777" w:rsidR="002E1033" w:rsidRPr="002E1033" w:rsidRDefault="006B1CA7" w:rsidP="007C0CDD">
            <w:pPr>
              <w:pStyle w:val="ListParagraph"/>
              <w:numPr>
                <w:ilvl w:val="0"/>
                <w:numId w:val="17"/>
              </w:numPr>
              <w:autoSpaceDE w:val="0"/>
              <w:autoSpaceDN w:val="0"/>
              <w:adjustRightInd w:val="0"/>
            </w:pPr>
            <w:r w:rsidRPr="002E1033">
              <w:t xml:space="preserve">Provide ‘ground truth’ to government. </w:t>
            </w:r>
          </w:p>
          <w:p w14:paraId="48648D02" w14:textId="77777777" w:rsidR="00D86F52" w:rsidRDefault="002E1033" w:rsidP="007C0CDD">
            <w:pPr>
              <w:pStyle w:val="ListParagraph"/>
              <w:numPr>
                <w:ilvl w:val="0"/>
                <w:numId w:val="17"/>
              </w:numPr>
              <w:autoSpaceDE w:val="0"/>
              <w:autoSpaceDN w:val="0"/>
              <w:adjustRightInd w:val="0"/>
            </w:pPr>
            <w:r w:rsidRPr="002E1033">
              <w:t>Provide a</w:t>
            </w:r>
            <w:r w:rsidR="006B1CA7" w:rsidRPr="002E1033">
              <w:t xml:space="preserve"> </w:t>
            </w:r>
            <w:r w:rsidR="00BB6057">
              <w:t xml:space="preserve">two way </w:t>
            </w:r>
            <w:r w:rsidR="006B1CA7" w:rsidRPr="002E1033">
              <w:t>channel of communication from government to people and vice versa</w:t>
            </w:r>
          </w:p>
          <w:p w14:paraId="54826196" w14:textId="22B483D8" w:rsidR="006B1CA7" w:rsidRPr="002E1033" w:rsidRDefault="006B1CA7" w:rsidP="007C0CDD">
            <w:pPr>
              <w:pStyle w:val="ListParagraph"/>
              <w:numPr>
                <w:ilvl w:val="0"/>
                <w:numId w:val="17"/>
              </w:numPr>
              <w:autoSpaceDE w:val="0"/>
              <w:autoSpaceDN w:val="0"/>
              <w:adjustRightInd w:val="0"/>
            </w:pPr>
            <w:r w:rsidRPr="002E1033">
              <w:t xml:space="preserve">Play a role in </w:t>
            </w:r>
            <w:r w:rsidR="00D86F52">
              <w:t>monitoring, implementation and</w:t>
            </w:r>
            <w:r w:rsidR="00AA1014">
              <w:t xml:space="preserve"> enforcement</w:t>
            </w:r>
            <w:r w:rsidRPr="002E1033">
              <w:t>. (Harvey (2014)</w:t>
            </w:r>
          </w:p>
          <w:p w14:paraId="28E6ABDC" w14:textId="0232B7A2" w:rsidR="006B1CA7" w:rsidRPr="002E1033" w:rsidRDefault="002E1033" w:rsidP="00BF2867">
            <w:pPr>
              <w:pStyle w:val="PlainText"/>
            </w:pPr>
            <w:r w:rsidRPr="002E1033">
              <w:t>There is a concern that state funding for this type of work can undermine independence</w:t>
            </w:r>
            <w:r w:rsidR="00CD79EE">
              <w:t xml:space="preserve"> (</w:t>
            </w:r>
            <w:r w:rsidR="00BF2867">
              <w:t>T</w:t>
            </w:r>
            <w:r w:rsidRPr="002E1033">
              <w:t xml:space="preserve">he </w:t>
            </w:r>
            <w:r w:rsidR="00BF2867">
              <w:t xml:space="preserve">Advocacy </w:t>
            </w:r>
            <w:r w:rsidRPr="002E1033">
              <w:t>Initiative found examples of where s</w:t>
            </w:r>
            <w:r w:rsidR="006B1CA7" w:rsidRPr="002E1033">
              <w:t xml:space="preserve">tate funding </w:t>
            </w:r>
            <w:r w:rsidRPr="002E1033">
              <w:t xml:space="preserve">did </w:t>
            </w:r>
            <w:r w:rsidR="00AA1014">
              <w:t xml:space="preserve">and did not impose </w:t>
            </w:r>
            <w:r w:rsidR="00AA1014" w:rsidRPr="002E1033">
              <w:t>some degree of</w:t>
            </w:r>
            <w:r w:rsidR="00AA1014">
              <w:t xml:space="preserve"> constraint on social justice advocacy work </w:t>
            </w:r>
            <w:r w:rsidR="00AA1014" w:rsidRPr="002E1033">
              <w:t>ranging from mild inhibition to complete suppression</w:t>
            </w:r>
            <w:r w:rsidR="00CD79EE">
              <w:t>)</w:t>
            </w:r>
            <w:r w:rsidR="00AA1014">
              <w:t>.</w:t>
            </w:r>
          </w:p>
        </w:tc>
        <w:tc>
          <w:tcPr>
            <w:tcW w:w="6521" w:type="dxa"/>
          </w:tcPr>
          <w:p w14:paraId="345BCDC5" w14:textId="77777777" w:rsidR="003E705F" w:rsidRPr="006B4408" w:rsidRDefault="003E705F" w:rsidP="003F36EE">
            <w:pPr>
              <w:pStyle w:val="PlainText"/>
              <w:rPr>
                <w:b/>
              </w:rPr>
            </w:pPr>
            <w:r w:rsidRPr="006B4408">
              <w:rPr>
                <w:b/>
              </w:rPr>
              <w:t xml:space="preserve">Community and voluntary organisations </w:t>
            </w:r>
            <w:r w:rsidR="00D86F52">
              <w:rPr>
                <w:b/>
              </w:rPr>
              <w:t xml:space="preserve">challenges are </w:t>
            </w:r>
            <w:r w:rsidRPr="006B4408">
              <w:rPr>
                <w:b/>
              </w:rPr>
              <w:t>to:</w:t>
            </w:r>
          </w:p>
          <w:p w14:paraId="40F1D6E8" w14:textId="0C8183EE" w:rsidR="003E705F" w:rsidRPr="006B4408" w:rsidRDefault="003E705F" w:rsidP="007C0CDD">
            <w:pPr>
              <w:pStyle w:val="PlainText"/>
              <w:numPr>
                <w:ilvl w:val="0"/>
                <w:numId w:val="20"/>
              </w:numPr>
              <w:rPr>
                <w:b/>
              </w:rPr>
            </w:pPr>
            <w:r w:rsidRPr="006B4408">
              <w:rPr>
                <w:b/>
              </w:rPr>
              <w:t xml:space="preserve">Be honest </w:t>
            </w:r>
            <w:r w:rsidRPr="006B4408">
              <w:t>about the increased levels of competition for resources –</w:t>
            </w:r>
            <w:r w:rsidR="00CD79EE">
              <w:t xml:space="preserve"> </w:t>
            </w:r>
            <w:r w:rsidRPr="006B4408">
              <w:t>within the community and voluntary sector and between the community and voluntary sector and other sectors.</w:t>
            </w:r>
          </w:p>
          <w:p w14:paraId="18CE620B" w14:textId="77777777" w:rsidR="000C64F4" w:rsidRDefault="000C64F4" w:rsidP="003F36EE">
            <w:pPr>
              <w:pStyle w:val="PlainText"/>
              <w:rPr>
                <w:b/>
              </w:rPr>
            </w:pPr>
          </w:p>
          <w:p w14:paraId="4093F8B8" w14:textId="77777777" w:rsidR="003E705F" w:rsidRPr="006B4408" w:rsidRDefault="003E705F" w:rsidP="003F36EE">
            <w:pPr>
              <w:pStyle w:val="PlainText"/>
              <w:rPr>
                <w:b/>
              </w:rPr>
            </w:pPr>
            <w:r w:rsidRPr="006B4408">
              <w:rPr>
                <w:b/>
              </w:rPr>
              <w:t>Policy makers</w:t>
            </w:r>
            <w:r w:rsidRPr="006B4408">
              <w:rPr>
                <w:lang w:val="en-US"/>
              </w:rPr>
              <w:t xml:space="preserve"> </w:t>
            </w:r>
            <w:r w:rsidRPr="006B4408">
              <w:rPr>
                <w:b/>
              </w:rPr>
              <w:t xml:space="preserve">and influencers </w:t>
            </w:r>
            <w:r w:rsidR="00D86F52">
              <w:rPr>
                <w:b/>
              </w:rPr>
              <w:t xml:space="preserve">challenges are </w:t>
            </w:r>
            <w:r w:rsidRPr="006B4408">
              <w:rPr>
                <w:b/>
              </w:rPr>
              <w:t xml:space="preserve">to: </w:t>
            </w:r>
          </w:p>
          <w:p w14:paraId="07B97194" w14:textId="77777777" w:rsidR="003E705F" w:rsidRPr="006B4408" w:rsidRDefault="003E705F" w:rsidP="007C0CDD">
            <w:pPr>
              <w:pStyle w:val="PlainText"/>
              <w:numPr>
                <w:ilvl w:val="0"/>
                <w:numId w:val="19"/>
              </w:numPr>
            </w:pPr>
            <w:r w:rsidRPr="00AA1014">
              <w:rPr>
                <w:b/>
              </w:rPr>
              <w:t xml:space="preserve">Recognise the value and potential of the community and voluntary sector </w:t>
            </w:r>
            <w:r w:rsidRPr="006B4408">
              <w:t>to input positively into policy making processes</w:t>
            </w:r>
            <w:r w:rsidR="00D86F52">
              <w:t xml:space="preserve"> (and where relevant</w:t>
            </w:r>
            <w:r w:rsidR="00AA1014">
              <w:t xml:space="preserve"> be prepared to a) resource it and/or b) not restrict or preclude it. </w:t>
            </w:r>
          </w:p>
          <w:p w14:paraId="70470039" w14:textId="77777777" w:rsidR="003E705F" w:rsidRPr="006B4408" w:rsidRDefault="003E705F" w:rsidP="007C0CDD">
            <w:pPr>
              <w:pStyle w:val="PlainText"/>
              <w:numPr>
                <w:ilvl w:val="0"/>
                <w:numId w:val="19"/>
              </w:numPr>
            </w:pPr>
            <w:r w:rsidRPr="00AA1014">
              <w:rPr>
                <w:b/>
              </w:rPr>
              <w:t>Be cognisant of the financial vulnerability</w:t>
            </w:r>
            <w:r w:rsidRPr="006B4408">
              <w:t xml:space="preserve"> of the sector and the work, taking action through the application of multiannual funding initiatives and the removal of no advocacy clauses in contracts and agreements.</w:t>
            </w:r>
            <w:r w:rsidRPr="006B4408">
              <w:rPr>
                <w:lang w:val="en-US"/>
              </w:rPr>
              <w:t xml:space="preserve">  </w:t>
            </w:r>
          </w:p>
        </w:tc>
      </w:tr>
    </w:tbl>
    <w:p w14:paraId="33AEA777" w14:textId="77777777" w:rsidR="003E705F" w:rsidRPr="006B4408" w:rsidRDefault="003E705F" w:rsidP="003E705F">
      <w:pPr>
        <w:pStyle w:val="PlainText"/>
      </w:pPr>
    </w:p>
    <w:p w14:paraId="4E5B434A" w14:textId="77777777" w:rsidR="003E705F" w:rsidRDefault="003E705F" w:rsidP="00AE7D07">
      <w:pPr>
        <w:spacing w:line="240" w:lineRule="auto"/>
        <w:sectPr w:rsidR="003E705F" w:rsidSect="00BB6057">
          <w:pgSz w:w="16838" w:h="11906" w:orient="landscape"/>
          <w:pgMar w:top="1276" w:right="1276" w:bottom="1276" w:left="1276" w:header="709" w:footer="709" w:gutter="0"/>
          <w:cols w:space="708"/>
          <w:docGrid w:linePitch="360"/>
        </w:sectPr>
      </w:pPr>
    </w:p>
    <w:p w14:paraId="66DDD03E" w14:textId="77777777" w:rsidR="003E2A72" w:rsidRPr="00B9697E" w:rsidRDefault="003E2A72" w:rsidP="00ED47A2">
      <w:pPr>
        <w:pStyle w:val="Heading1"/>
      </w:pPr>
      <w:bookmarkStart w:id="81" w:name="_Toc394492980"/>
      <w:bookmarkStart w:id="82" w:name="_Toc394493501"/>
      <w:r>
        <w:lastRenderedPageBreak/>
        <w:t xml:space="preserve">5 </w:t>
      </w:r>
      <w:r>
        <w:tab/>
      </w:r>
      <w:r w:rsidR="00BB6057">
        <w:t>What n</w:t>
      </w:r>
      <w:r>
        <w:t>ext</w:t>
      </w:r>
      <w:r w:rsidR="00BB6057">
        <w:t>?</w:t>
      </w:r>
      <w:bookmarkEnd w:id="81"/>
      <w:bookmarkEnd w:id="82"/>
    </w:p>
    <w:p w14:paraId="668AD04F" w14:textId="6EBB843C" w:rsidR="00005286" w:rsidRDefault="00BB6057" w:rsidP="00D56253">
      <w:pPr>
        <w:pStyle w:val="PlainText"/>
      </w:pPr>
      <w:r>
        <w:t xml:space="preserve">The formal conclusion of </w:t>
      </w:r>
      <w:r w:rsidR="00BF2867">
        <w:t>T</w:t>
      </w:r>
      <w:r>
        <w:t>he Advocacy Initiative take</w:t>
      </w:r>
      <w:r w:rsidR="00C149FF">
        <w:t>s</w:t>
      </w:r>
      <w:r>
        <w:t xml:space="preserve"> place in </w:t>
      </w:r>
      <w:r w:rsidR="002D7CBC">
        <w:t>August</w:t>
      </w:r>
      <w:r>
        <w:t xml:space="preserve"> 2014.  </w:t>
      </w:r>
      <w:r w:rsidR="00005286">
        <w:t xml:space="preserve">In order to sustain and embed the </w:t>
      </w:r>
      <w:r>
        <w:t>lea</w:t>
      </w:r>
      <w:r w:rsidR="00005286">
        <w:t>rning process that we have begun</w:t>
      </w:r>
      <w:r>
        <w:t xml:space="preserve"> some of our member organisations </w:t>
      </w:r>
      <w:r w:rsidR="00005286">
        <w:t xml:space="preserve">have </w:t>
      </w:r>
      <w:r w:rsidR="001E41EA">
        <w:t>taken</w:t>
      </w:r>
      <w:r w:rsidR="00005286">
        <w:t xml:space="preserve"> on to manage number of </w:t>
      </w:r>
      <w:r>
        <w:t>products</w:t>
      </w:r>
      <w:r w:rsidR="00005286">
        <w:t>/activities</w:t>
      </w:r>
      <w:r>
        <w:t xml:space="preserve"> </w:t>
      </w:r>
      <w:r w:rsidR="00005286">
        <w:t xml:space="preserve">for a further three year period from </w:t>
      </w:r>
      <w:r w:rsidR="00C149FF">
        <w:t>September</w:t>
      </w:r>
      <w:r w:rsidR="00005286">
        <w:t xml:space="preserve"> 2014- </w:t>
      </w:r>
      <w:r w:rsidR="00C149FF">
        <w:t>August</w:t>
      </w:r>
      <w:r w:rsidR="00005286">
        <w:t xml:space="preserve"> 2017.  See Table 5.1 for details of the products and activities to be sustained and the organisations that will sustain them. </w:t>
      </w:r>
    </w:p>
    <w:p w14:paraId="76665537" w14:textId="77777777" w:rsidR="00005286" w:rsidRDefault="00005286" w:rsidP="00D56253">
      <w:pPr>
        <w:pStyle w:val="PlainText"/>
      </w:pPr>
    </w:p>
    <w:tbl>
      <w:tblPr>
        <w:tblStyle w:val="TableGrid"/>
        <w:tblW w:w="0" w:type="auto"/>
        <w:tblLook w:val="04A0" w:firstRow="1" w:lastRow="0" w:firstColumn="1" w:lastColumn="0" w:noHBand="0" w:noVBand="1"/>
      </w:tblPr>
      <w:tblGrid>
        <w:gridCol w:w="4621"/>
        <w:gridCol w:w="4621"/>
      </w:tblGrid>
      <w:tr w:rsidR="00A17BF2" w:rsidRPr="00A17BF2" w14:paraId="35FB8AFD" w14:textId="77777777" w:rsidTr="00153E27">
        <w:tc>
          <w:tcPr>
            <w:tcW w:w="9242" w:type="dxa"/>
            <w:gridSpan w:val="2"/>
            <w:shd w:val="clear" w:color="auto" w:fill="B2A1C7" w:themeFill="accent4" w:themeFillTint="99"/>
          </w:tcPr>
          <w:p w14:paraId="40A28600" w14:textId="6B50C834" w:rsidR="00A17BF2" w:rsidRPr="00ED47A2" w:rsidRDefault="00A17BF2" w:rsidP="00ED47A2">
            <w:pPr>
              <w:pStyle w:val="Heading4"/>
              <w:outlineLvl w:val="3"/>
            </w:pPr>
            <w:r w:rsidRPr="00A17BF2">
              <w:t>Table 5.1 Advocacy Initiative products and activities to be sustained (August 2014- July 2017)</w:t>
            </w:r>
          </w:p>
        </w:tc>
      </w:tr>
      <w:tr w:rsidR="00005286" w:rsidRPr="00A17BF2" w14:paraId="7AF10350" w14:textId="77777777" w:rsidTr="00153E27">
        <w:tc>
          <w:tcPr>
            <w:tcW w:w="4621" w:type="dxa"/>
            <w:shd w:val="clear" w:color="auto" w:fill="B2A1C7" w:themeFill="accent4" w:themeFillTint="99"/>
          </w:tcPr>
          <w:p w14:paraId="0E0FCF59" w14:textId="77777777" w:rsidR="00005286" w:rsidRPr="00A17BF2" w:rsidRDefault="00A17BF2" w:rsidP="00D56253">
            <w:pPr>
              <w:pStyle w:val="PlainText"/>
              <w:rPr>
                <w:i/>
              </w:rPr>
            </w:pPr>
            <w:r w:rsidRPr="00A17BF2">
              <w:rPr>
                <w:i/>
              </w:rPr>
              <w:t>Product/Activity</w:t>
            </w:r>
          </w:p>
        </w:tc>
        <w:tc>
          <w:tcPr>
            <w:tcW w:w="4621" w:type="dxa"/>
            <w:shd w:val="clear" w:color="auto" w:fill="B2A1C7" w:themeFill="accent4" w:themeFillTint="99"/>
          </w:tcPr>
          <w:p w14:paraId="0F924F18" w14:textId="77777777" w:rsidR="00005286" w:rsidRPr="00A17BF2" w:rsidRDefault="00A17BF2" w:rsidP="00D56253">
            <w:pPr>
              <w:pStyle w:val="PlainText"/>
              <w:rPr>
                <w:i/>
              </w:rPr>
            </w:pPr>
            <w:r w:rsidRPr="00A17BF2">
              <w:rPr>
                <w:i/>
              </w:rPr>
              <w:t>Organisation that will manage the product/process</w:t>
            </w:r>
          </w:p>
        </w:tc>
      </w:tr>
      <w:tr w:rsidR="00005286" w14:paraId="67DF6299" w14:textId="77777777" w:rsidTr="00005286">
        <w:tc>
          <w:tcPr>
            <w:tcW w:w="4621" w:type="dxa"/>
          </w:tcPr>
          <w:p w14:paraId="7804BD64" w14:textId="77777777" w:rsidR="00005286" w:rsidRDefault="00A17BF2" w:rsidP="007C0CDD">
            <w:pPr>
              <w:pStyle w:val="PlainText"/>
              <w:numPr>
                <w:ilvl w:val="2"/>
                <w:numId w:val="21"/>
              </w:numPr>
              <w:ind w:left="426" w:hanging="426"/>
              <w:rPr>
                <w:rFonts w:eastAsia="Calibri" w:cs="Times New Roman"/>
              </w:rPr>
            </w:pPr>
            <w:r>
              <w:t xml:space="preserve">The Advocacy Initiative legacy </w:t>
            </w:r>
            <w:r w:rsidRPr="00D56253">
              <w:rPr>
                <w:rFonts w:eastAsia="Calibri" w:cs="Times New Roman"/>
              </w:rPr>
              <w:t xml:space="preserve">website </w:t>
            </w:r>
          </w:p>
          <w:p w14:paraId="0B190BBA" w14:textId="244B4E3A" w:rsidR="0013582C" w:rsidRPr="00A17BF2" w:rsidRDefault="0013582C" w:rsidP="0013582C">
            <w:pPr>
              <w:pStyle w:val="PlainText"/>
              <w:ind w:left="426"/>
              <w:rPr>
                <w:rFonts w:eastAsia="Calibri" w:cs="Times New Roman"/>
              </w:rPr>
            </w:pPr>
          </w:p>
        </w:tc>
        <w:tc>
          <w:tcPr>
            <w:tcW w:w="4621" w:type="dxa"/>
          </w:tcPr>
          <w:p w14:paraId="5811B8E9" w14:textId="77777777" w:rsidR="00005286" w:rsidRDefault="0005408A" w:rsidP="00D56253">
            <w:pPr>
              <w:pStyle w:val="PlainText"/>
            </w:pPr>
            <w:r>
              <w:t>The Wheel</w:t>
            </w:r>
          </w:p>
          <w:p w14:paraId="5AE39531" w14:textId="00C38551" w:rsidR="00C149FF" w:rsidRDefault="00632A79" w:rsidP="00D56253">
            <w:pPr>
              <w:pStyle w:val="PlainText"/>
            </w:pPr>
            <w:hyperlink r:id="rId17" w:history="1">
              <w:r w:rsidR="00BF2867" w:rsidRPr="00E601C5">
                <w:rPr>
                  <w:rStyle w:val="Hyperlink"/>
                </w:rPr>
                <w:t>www.wheel.ie</w:t>
              </w:r>
            </w:hyperlink>
            <w:r w:rsidR="00BF2867">
              <w:t xml:space="preserve"> </w:t>
            </w:r>
          </w:p>
        </w:tc>
      </w:tr>
      <w:tr w:rsidR="00005286" w14:paraId="523FB3ED" w14:textId="77777777" w:rsidTr="00005286">
        <w:tc>
          <w:tcPr>
            <w:tcW w:w="4621" w:type="dxa"/>
          </w:tcPr>
          <w:p w14:paraId="7FD673B3" w14:textId="2ACCEF75" w:rsidR="00A17BF2" w:rsidRDefault="00A17BF2" w:rsidP="007C0CDD">
            <w:pPr>
              <w:pStyle w:val="PlainText"/>
              <w:numPr>
                <w:ilvl w:val="2"/>
                <w:numId w:val="21"/>
              </w:numPr>
              <w:ind w:left="426" w:hanging="426"/>
              <w:rPr>
                <w:rFonts w:eastAsia="Calibri" w:cs="Times New Roman"/>
              </w:rPr>
            </w:pPr>
            <w:r>
              <w:rPr>
                <w:rFonts w:eastAsia="Calibri" w:cs="Times New Roman"/>
              </w:rPr>
              <w:t>The Evaluation I</w:t>
            </w:r>
            <w:r w:rsidRPr="00D56253">
              <w:rPr>
                <w:rFonts w:eastAsia="Calibri" w:cs="Times New Roman"/>
              </w:rPr>
              <w:t xml:space="preserve">ndicators </w:t>
            </w:r>
          </w:p>
          <w:p w14:paraId="61219E59" w14:textId="77777777" w:rsidR="00005286" w:rsidRDefault="00005286" w:rsidP="00A17BF2">
            <w:pPr>
              <w:pStyle w:val="PlainText"/>
              <w:ind w:left="426" w:hanging="426"/>
            </w:pPr>
          </w:p>
        </w:tc>
        <w:tc>
          <w:tcPr>
            <w:tcW w:w="4621" w:type="dxa"/>
          </w:tcPr>
          <w:p w14:paraId="76F9877C" w14:textId="77777777" w:rsidR="00005286" w:rsidRDefault="0005408A" w:rsidP="00D56253">
            <w:pPr>
              <w:pStyle w:val="PlainText"/>
            </w:pPr>
            <w:r>
              <w:t>Disability Federation of Ireland</w:t>
            </w:r>
          </w:p>
          <w:p w14:paraId="61C4B424" w14:textId="2DC1D6EF" w:rsidR="00C149FF" w:rsidRDefault="00632A79" w:rsidP="00D56253">
            <w:pPr>
              <w:pStyle w:val="PlainText"/>
            </w:pPr>
            <w:hyperlink r:id="rId18" w:history="1">
              <w:r w:rsidR="00BF2867" w:rsidRPr="00E601C5">
                <w:rPr>
                  <w:rStyle w:val="Hyperlink"/>
                </w:rPr>
                <w:t>www.disability-federation.ie</w:t>
              </w:r>
            </w:hyperlink>
            <w:r w:rsidR="00BF2867">
              <w:t xml:space="preserve"> </w:t>
            </w:r>
          </w:p>
        </w:tc>
      </w:tr>
      <w:tr w:rsidR="00005286" w14:paraId="1C53D651" w14:textId="77777777" w:rsidTr="00005286">
        <w:tc>
          <w:tcPr>
            <w:tcW w:w="4621" w:type="dxa"/>
          </w:tcPr>
          <w:p w14:paraId="70E665AF" w14:textId="130B1713" w:rsidR="00A17BF2" w:rsidRDefault="00A17BF2" w:rsidP="007C0CDD">
            <w:pPr>
              <w:pStyle w:val="PlainText"/>
              <w:numPr>
                <w:ilvl w:val="2"/>
                <w:numId w:val="21"/>
              </w:numPr>
              <w:ind w:left="426" w:hanging="426"/>
              <w:rPr>
                <w:rFonts w:eastAsia="Calibri" w:cs="Times New Roman"/>
              </w:rPr>
            </w:pPr>
            <w:r>
              <w:rPr>
                <w:rFonts w:eastAsia="Calibri" w:cs="Times New Roman"/>
              </w:rPr>
              <w:t>The C</w:t>
            </w:r>
            <w:r w:rsidRPr="00D56253">
              <w:rPr>
                <w:rFonts w:eastAsia="Calibri" w:cs="Times New Roman"/>
              </w:rPr>
              <w:t>apacity</w:t>
            </w:r>
            <w:r>
              <w:rPr>
                <w:rFonts w:eastAsia="Calibri" w:cs="Times New Roman"/>
              </w:rPr>
              <w:t xml:space="preserve"> Tool</w:t>
            </w:r>
          </w:p>
          <w:p w14:paraId="51D7DB91" w14:textId="77777777" w:rsidR="00005286" w:rsidRDefault="00005286" w:rsidP="00A17BF2">
            <w:pPr>
              <w:pStyle w:val="PlainText"/>
              <w:ind w:left="426" w:hanging="426"/>
            </w:pPr>
          </w:p>
        </w:tc>
        <w:tc>
          <w:tcPr>
            <w:tcW w:w="4621" w:type="dxa"/>
          </w:tcPr>
          <w:p w14:paraId="55288767" w14:textId="77777777" w:rsidR="00005286" w:rsidRDefault="0005408A" w:rsidP="00D56253">
            <w:pPr>
              <w:pStyle w:val="PlainText"/>
            </w:pPr>
            <w:r>
              <w:t>Barnardos</w:t>
            </w:r>
          </w:p>
          <w:p w14:paraId="610F2037" w14:textId="1D901E6F" w:rsidR="00C149FF" w:rsidRDefault="00632A79" w:rsidP="00D56253">
            <w:pPr>
              <w:pStyle w:val="PlainText"/>
            </w:pPr>
            <w:hyperlink r:id="rId19" w:history="1">
              <w:r w:rsidR="00BF2867" w:rsidRPr="00E601C5">
                <w:rPr>
                  <w:rStyle w:val="Hyperlink"/>
                </w:rPr>
                <w:t>www.barnardos.ie</w:t>
              </w:r>
            </w:hyperlink>
            <w:r w:rsidR="00BF2867">
              <w:t xml:space="preserve"> </w:t>
            </w:r>
          </w:p>
        </w:tc>
      </w:tr>
      <w:tr w:rsidR="00005286" w14:paraId="0C994667" w14:textId="77777777" w:rsidTr="00005286">
        <w:tc>
          <w:tcPr>
            <w:tcW w:w="4621" w:type="dxa"/>
          </w:tcPr>
          <w:p w14:paraId="5751B053" w14:textId="2B80F6E4" w:rsidR="00A17BF2" w:rsidRDefault="00A17BF2" w:rsidP="007C0CDD">
            <w:pPr>
              <w:pStyle w:val="PlainText"/>
              <w:numPr>
                <w:ilvl w:val="2"/>
                <w:numId w:val="21"/>
              </w:numPr>
              <w:ind w:left="426" w:hanging="426"/>
              <w:rPr>
                <w:rFonts w:eastAsia="Calibri" w:cs="Times New Roman"/>
              </w:rPr>
            </w:pPr>
            <w:r w:rsidRPr="00005286">
              <w:rPr>
                <w:rFonts w:eastAsia="Calibri" w:cs="Times New Roman"/>
              </w:rPr>
              <w:t xml:space="preserve">The </w:t>
            </w:r>
            <w:r>
              <w:rPr>
                <w:rFonts w:eastAsia="Calibri" w:cs="Times New Roman"/>
              </w:rPr>
              <w:t>Opinion P</w:t>
            </w:r>
            <w:r w:rsidRPr="00005286">
              <w:rPr>
                <w:rFonts w:eastAsia="Calibri" w:cs="Times New Roman"/>
              </w:rPr>
              <w:t>olling</w:t>
            </w:r>
          </w:p>
          <w:p w14:paraId="73E64441" w14:textId="77777777" w:rsidR="00005286" w:rsidRDefault="00005286" w:rsidP="00A17BF2">
            <w:pPr>
              <w:pStyle w:val="PlainText"/>
              <w:ind w:left="426" w:hanging="426"/>
            </w:pPr>
          </w:p>
        </w:tc>
        <w:tc>
          <w:tcPr>
            <w:tcW w:w="4621" w:type="dxa"/>
          </w:tcPr>
          <w:p w14:paraId="7A839628" w14:textId="77777777" w:rsidR="00005286" w:rsidRDefault="0005408A" w:rsidP="00D56253">
            <w:pPr>
              <w:pStyle w:val="PlainText"/>
            </w:pPr>
            <w:r>
              <w:t>Focus Ireland</w:t>
            </w:r>
          </w:p>
          <w:p w14:paraId="63D5653A" w14:textId="6E9E5CF9" w:rsidR="00C149FF" w:rsidRDefault="00632A79" w:rsidP="00D56253">
            <w:pPr>
              <w:pStyle w:val="PlainText"/>
            </w:pPr>
            <w:hyperlink r:id="rId20" w:history="1">
              <w:r w:rsidR="00BF2867" w:rsidRPr="00E601C5">
                <w:rPr>
                  <w:rStyle w:val="Hyperlink"/>
                </w:rPr>
                <w:t>www.focusireland.ie</w:t>
              </w:r>
            </w:hyperlink>
            <w:r w:rsidR="00BF2867">
              <w:t xml:space="preserve"> </w:t>
            </w:r>
          </w:p>
        </w:tc>
      </w:tr>
      <w:tr w:rsidR="00005286" w14:paraId="66C04B9C" w14:textId="77777777" w:rsidTr="00005286">
        <w:tc>
          <w:tcPr>
            <w:tcW w:w="4621" w:type="dxa"/>
          </w:tcPr>
          <w:p w14:paraId="6F2E9935" w14:textId="0D8C4B25" w:rsidR="00005286" w:rsidRPr="00A17BF2" w:rsidRDefault="00A17BF2" w:rsidP="007C0CDD">
            <w:pPr>
              <w:pStyle w:val="PlainText"/>
              <w:numPr>
                <w:ilvl w:val="2"/>
                <w:numId w:val="21"/>
              </w:numPr>
              <w:ind w:left="426" w:hanging="426"/>
              <w:rPr>
                <w:rFonts w:eastAsia="Calibri" w:cs="Times New Roman"/>
              </w:rPr>
            </w:pPr>
            <w:r w:rsidRPr="00005286">
              <w:rPr>
                <w:rFonts w:eastAsia="Calibri" w:cs="Times New Roman"/>
              </w:rPr>
              <w:t>The Knowledge Exchange Fora (two per year</w:t>
            </w:r>
            <w:r>
              <w:rPr>
                <w:rFonts w:eastAsia="Calibri" w:cs="Times New Roman"/>
              </w:rPr>
              <w:t>)</w:t>
            </w:r>
          </w:p>
        </w:tc>
        <w:tc>
          <w:tcPr>
            <w:tcW w:w="4621" w:type="dxa"/>
          </w:tcPr>
          <w:p w14:paraId="2E64036F" w14:textId="77777777" w:rsidR="00C149FF" w:rsidRDefault="0005408A" w:rsidP="00D56253">
            <w:pPr>
              <w:pStyle w:val="PlainText"/>
            </w:pPr>
            <w:r>
              <w:t>Carmichael Centre</w:t>
            </w:r>
          </w:p>
          <w:p w14:paraId="2FC098B4" w14:textId="2F8999A0" w:rsidR="00C149FF" w:rsidRDefault="00632A79" w:rsidP="00D56253">
            <w:pPr>
              <w:pStyle w:val="PlainText"/>
            </w:pPr>
            <w:hyperlink r:id="rId21" w:history="1">
              <w:r w:rsidR="00C149FF" w:rsidRPr="000E2C0B">
                <w:rPr>
                  <w:rStyle w:val="Hyperlink"/>
                </w:rPr>
                <w:t>www.carmichaelcentre.ie</w:t>
              </w:r>
            </w:hyperlink>
          </w:p>
          <w:p w14:paraId="13442C7B" w14:textId="2771CDE6" w:rsidR="00C149FF" w:rsidRDefault="00C149FF" w:rsidP="00D56253">
            <w:pPr>
              <w:pStyle w:val="PlainText"/>
            </w:pPr>
          </w:p>
          <w:p w14:paraId="3A591431" w14:textId="77777777" w:rsidR="00C149FF" w:rsidRDefault="0005408A" w:rsidP="00D56253">
            <w:pPr>
              <w:pStyle w:val="PlainText"/>
            </w:pPr>
            <w:r>
              <w:t>Community Platform</w:t>
            </w:r>
          </w:p>
          <w:p w14:paraId="4CD753AF" w14:textId="0CEFE98F" w:rsidR="00C149FF" w:rsidRDefault="00632A79" w:rsidP="00D56253">
            <w:pPr>
              <w:pStyle w:val="PlainText"/>
            </w:pPr>
            <w:hyperlink r:id="rId22" w:history="1">
              <w:r w:rsidR="00C149FF" w:rsidRPr="000E2C0B">
                <w:rPr>
                  <w:rStyle w:val="Hyperlink"/>
                </w:rPr>
                <w:t>www.communityplatform.ie</w:t>
              </w:r>
            </w:hyperlink>
          </w:p>
          <w:p w14:paraId="5E8D6FC3" w14:textId="62CBEDA1" w:rsidR="00C149FF" w:rsidRDefault="00C149FF" w:rsidP="00D56253">
            <w:pPr>
              <w:pStyle w:val="PlainText"/>
            </w:pPr>
          </w:p>
          <w:p w14:paraId="038C96AC" w14:textId="77777777" w:rsidR="00C149FF" w:rsidRDefault="0005408A" w:rsidP="00D56253">
            <w:pPr>
              <w:pStyle w:val="PlainText"/>
            </w:pPr>
            <w:r>
              <w:t>The Wheel</w:t>
            </w:r>
          </w:p>
          <w:p w14:paraId="6ADFD868" w14:textId="74E11BE7" w:rsidR="00C149FF" w:rsidRDefault="00632A79" w:rsidP="00D56253">
            <w:pPr>
              <w:pStyle w:val="PlainText"/>
            </w:pPr>
            <w:hyperlink r:id="rId23" w:history="1">
              <w:r w:rsidR="00C149FF" w:rsidRPr="000E2C0B">
                <w:rPr>
                  <w:rStyle w:val="Hyperlink"/>
                </w:rPr>
                <w:t>www.wheel.ie</w:t>
              </w:r>
            </w:hyperlink>
          </w:p>
          <w:p w14:paraId="3322DE7A" w14:textId="7849341B" w:rsidR="00C149FF" w:rsidRDefault="00C149FF" w:rsidP="00D56253">
            <w:pPr>
              <w:pStyle w:val="PlainText"/>
            </w:pPr>
          </w:p>
          <w:p w14:paraId="63D16643" w14:textId="77777777" w:rsidR="00005286" w:rsidRDefault="0005408A" w:rsidP="00D56253">
            <w:pPr>
              <w:pStyle w:val="PlainText"/>
            </w:pPr>
            <w:r>
              <w:t>54 Degrees (e-campaigning forum)</w:t>
            </w:r>
          </w:p>
          <w:p w14:paraId="69B88482" w14:textId="621CB955" w:rsidR="00C149FF" w:rsidRDefault="00632A79" w:rsidP="00D56253">
            <w:pPr>
              <w:pStyle w:val="PlainText"/>
            </w:pPr>
            <w:hyperlink r:id="rId24" w:history="1">
              <w:r w:rsidR="00BF2867" w:rsidRPr="00E601C5">
                <w:rPr>
                  <w:rStyle w:val="Hyperlink"/>
                </w:rPr>
                <w:t>www.54degrees.com</w:t>
              </w:r>
            </w:hyperlink>
            <w:r w:rsidR="00BF2867">
              <w:t xml:space="preserve"> </w:t>
            </w:r>
          </w:p>
        </w:tc>
      </w:tr>
    </w:tbl>
    <w:p w14:paraId="7A219E73" w14:textId="77777777" w:rsidR="00005286" w:rsidRDefault="00005286" w:rsidP="00D56253">
      <w:pPr>
        <w:pStyle w:val="PlainText"/>
      </w:pPr>
    </w:p>
    <w:p w14:paraId="76C88880" w14:textId="77777777" w:rsidR="00DF48A9" w:rsidRDefault="00DF48A9" w:rsidP="00D56253">
      <w:pPr>
        <w:pStyle w:val="PlainText"/>
      </w:pPr>
    </w:p>
    <w:p w14:paraId="062997E8" w14:textId="77777777" w:rsidR="00005286" w:rsidRDefault="00005286" w:rsidP="00005286">
      <w:pPr>
        <w:pStyle w:val="PlainText"/>
        <w:ind w:left="2160"/>
        <w:rPr>
          <w:rFonts w:eastAsia="Calibri" w:cs="Times New Roman"/>
        </w:rPr>
      </w:pPr>
    </w:p>
    <w:p w14:paraId="04B54712" w14:textId="77777777" w:rsidR="00005286" w:rsidRDefault="00005286" w:rsidP="00005286">
      <w:pPr>
        <w:pStyle w:val="PlainText"/>
        <w:ind w:left="2160"/>
        <w:rPr>
          <w:rFonts w:eastAsia="Calibri" w:cs="Times New Roman"/>
        </w:rPr>
      </w:pPr>
    </w:p>
    <w:p w14:paraId="39744253" w14:textId="77777777" w:rsidR="00005286" w:rsidRDefault="00005286" w:rsidP="00005286">
      <w:pPr>
        <w:pStyle w:val="PlainText"/>
        <w:ind w:left="2160"/>
        <w:rPr>
          <w:rFonts w:eastAsia="Calibri" w:cs="Times New Roman"/>
        </w:rPr>
      </w:pPr>
    </w:p>
    <w:p w14:paraId="3C213A40" w14:textId="77777777" w:rsidR="00D56253" w:rsidRDefault="00D56253" w:rsidP="00D56253">
      <w:pPr>
        <w:pStyle w:val="PlainText"/>
      </w:pPr>
    </w:p>
    <w:p w14:paraId="61C489C2" w14:textId="77777777" w:rsidR="00D56253" w:rsidRDefault="00D56253" w:rsidP="00D56253">
      <w:pPr>
        <w:pStyle w:val="PlainText"/>
      </w:pPr>
      <w:r>
        <w:t>.</w:t>
      </w:r>
    </w:p>
    <w:p w14:paraId="4BE5AF84" w14:textId="77777777" w:rsidR="00A17BF2" w:rsidRDefault="00A17BF2">
      <w:r>
        <w:br w:type="page"/>
      </w:r>
    </w:p>
    <w:p w14:paraId="468D63CF" w14:textId="393AC627" w:rsidR="00C466F2" w:rsidRDefault="00A17BF2" w:rsidP="00ED47A2">
      <w:pPr>
        <w:pStyle w:val="Heading1"/>
      </w:pPr>
      <w:bookmarkStart w:id="83" w:name="_Toc394492981"/>
      <w:bookmarkStart w:id="84" w:name="_Toc394493502"/>
      <w:r>
        <w:lastRenderedPageBreak/>
        <w:t xml:space="preserve">6 </w:t>
      </w:r>
      <w:r>
        <w:tab/>
        <w:t>Resources</w:t>
      </w:r>
      <w:bookmarkEnd w:id="83"/>
      <w:bookmarkEnd w:id="84"/>
    </w:p>
    <w:p w14:paraId="4033682A" w14:textId="77777777" w:rsidR="00ED47A2" w:rsidRPr="00ED47A2" w:rsidRDefault="00ED47A2" w:rsidP="00ED47A2"/>
    <w:tbl>
      <w:tblPr>
        <w:tblStyle w:val="TableGrid"/>
        <w:tblW w:w="9322" w:type="dxa"/>
        <w:tblLook w:val="04A0" w:firstRow="1" w:lastRow="0" w:firstColumn="1" w:lastColumn="0" w:noHBand="0" w:noVBand="1"/>
      </w:tblPr>
      <w:tblGrid>
        <w:gridCol w:w="2754"/>
        <w:gridCol w:w="4558"/>
        <w:gridCol w:w="2010"/>
      </w:tblGrid>
      <w:tr w:rsidR="00153E27" w:rsidRPr="00153E27" w14:paraId="56762573" w14:textId="77777777" w:rsidTr="00C466F2">
        <w:tc>
          <w:tcPr>
            <w:tcW w:w="2754" w:type="dxa"/>
            <w:shd w:val="clear" w:color="auto" w:fill="B2A1C7" w:themeFill="accent4" w:themeFillTint="99"/>
          </w:tcPr>
          <w:p w14:paraId="0AEAA519" w14:textId="393AC627" w:rsidR="00153E27" w:rsidRDefault="00153E27" w:rsidP="00153E27">
            <w:pPr>
              <w:pStyle w:val="PlainText"/>
              <w:rPr>
                <w:b/>
              </w:rPr>
            </w:pPr>
            <w:r w:rsidRPr="00153E27">
              <w:rPr>
                <w:b/>
              </w:rPr>
              <w:t>Name</w:t>
            </w:r>
          </w:p>
          <w:p w14:paraId="66CC7550" w14:textId="77777777" w:rsidR="00153E27" w:rsidRPr="00153E27" w:rsidRDefault="00153E27" w:rsidP="00153E27">
            <w:pPr>
              <w:pStyle w:val="PlainText"/>
              <w:rPr>
                <w:b/>
              </w:rPr>
            </w:pPr>
          </w:p>
        </w:tc>
        <w:tc>
          <w:tcPr>
            <w:tcW w:w="4558" w:type="dxa"/>
            <w:shd w:val="clear" w:color="auto" w:fill="B2A1C7" w:themeFill="accent4" w:themeFillTint="99"/>
          </w:tcPr>
          <w:p w14:paraId="4CBD77F8" w14:textId="77777777" w:rsidR="00153E27" w:rsidRPr="00153E27" w:rsidRDefault="00153E27" w:rsidP="00153E27">
            <w:pPr>
              <w:pStyle w:val="PlainText"/>
              <w:rPr>
                <w:b/>
              </w:rPr>
            </w:pPr>
            <w:r w:rsidRPr="00153E27">
              <w:rPr>
                <w:b/>
              </w:rPr>
              <w:t>Description</w:t>
            </w:r>
          </w:p>
        </w:tc>
        <w:tc>
          <w:tcPr>
            <w:tcW w:w="2010" w:type="dxa"/>
            <w:shd w:val="clear" w:color="auto" w:fill="B2A1C7" w:themeFill="accent4" w:themeFillTint="99"/>
          </w:tcPr>
          <w:p w14:paraId="1BB0533E" w14:textId="77777777" w:rsidR="00153E27" w:rsidRPr="00153E27" w:rsidRDefault="00153E27" w:rsidP="00186DB5">
            <w:pPr>
              <w:pStyle w:val="PlainText"/>
              <w:ind w:hanging="108"/>
              <w:rPr>
                <w:b/>
              </w:rPr>
            </w:pPr>
            <w:r>
              <w:rPr>
                <w:b/>
              </w:rPr>
              <w:t>Web-link</w:t>
            </w:r>
          </w:p>
        </w:tc>
      </w:tr>
      <w:tr w:rsidR="00153E27" w:rsidRPr="00B33993" w14:paraId="36E9262C" w14:textId="77777777" w:rsidTr="00C466F2">
        <w:tc>
          <w:tcPr>
            <w:tcW w:w="2754" w:type="dxa"/>
          </w:tcPr>
          <w:p w14:paraId="0D8781E6" w14:textId="77777777" w:rsidR="00153E27" w:rsidRDefault="00153E27" w:rsidP="003F36EE">
            <w:r w:rsidRPr="00B33993">
              <w:t>Project Scoping Report</w:t>
            </w:r>
          </w:p>
          <w:p w14:paraId="228F1538" w14:textId="77777777" w:rsidR="00153E27" w:rsidRPr="00B33993" w:rsidRDefault="00153E27" w:rsidP="003F36EE">
            <w:r>
              <w:t>(2010)</w:t>
            </w:r>
          </w:p>
          <w:p w14:paraId="662DD5D1" w14:textId="77777777" w:rsidR="00153E27" w:rsidRPr="00B33993" w:rsidRDefault="00153E27" w:rsidP="003F36EE"/>
        </w:tc>
        <w:tc>
          <w:tcPr>
            <w:tcW w:w="4558" w:type="dxa"/>
          </w:tcPr>
          <w:p w14:paraId="07708FEA" w14:textId="77777777" w:rsidR="00153E27" w:rsidRPr="00B33993" w:rsidRDefault="00153E27" w:rsidP="003F36EE">
            <w:r w:rsidRPr="00B33993">
              <w:t xml:space="preserve">This </w:t>
            </w:r>
            <w:r>
              <w:t>research examined</w:t>
            </w:r>
            <w:r w:rsidRPr="00B33993">
              <w:t xml:space="preserve"> the literature on advocacy.  It involved a survey of 170 community and voluntary organisations to assess the extent and nature of advocacy work being undertaken by these organisations. Interviews were conducted with a small number of policy makers few of whom had a clear view on the advocacy role of the community and voluntary sector.   A series of recommendations for action were identified as a result of these consultations and analysis and these were used as the basis for the development and funding of the three year Advocacy Initiative work programme</w:t>
            </w:r>
          </w:p>
        </w:tc>
        <w:tc>
          <w:tcPr>
            <w:tcW w:w="2010" w:type="dxa"/>
          </w:tcPr>
          <w:p w14:paraId="044DC772" w14:textId="77777777" w:rsidR="00153E27" w:rsidRPr="00B33993" w:rsidRDefault="00153E27" w:rsidP="003F36EE"/>
        </w:tc>
      </w:tr>
      <w:tr w:rsidR="00153E27" w:rsidRPr="00B33993" w14:paraId="482E9441" w14:textId="77777777" w:rsidTr="00C466F2">
        <w:tc>
          <w:tcPr>
            <w:tcW w:w="2754" w:type="dxa"/>
          </w:tcPr>
          <w:p w14:paraId="296A43F2" w14:textId="77777777" w:rsidR="00153E27" w:rsidRDefault="00153E27" w:rsidP="003F36EE">
            <w:r w:rsidRPr="00B33993">
              <w:t>Statement on Social Justice Advocacy</w:t>
            </w:r>
          </w:p>
          <w:p w14:paraId="6CBD6C35" w14:textId="77777777" w:rsidR="00153E27" w:rsidRPr="00B33993" w:rsidRDefault="00153E27" w:rsidP="003F36EE">
            <w:r>
              <w:t>(2011)</w:t>
            </w:r>
          </w:p>
        </w:tc>
        <w:tc>
          <w:tcPr>
            <w:tcW w:w="4558" w:type="dxa"/>
          </w:tcPr>
          <w:p w14:paraId="39ED3087" w14:textId="5A2B7466" w:rsidR="00153E27" w:rsidRPr="00B33993" w:rsidRDefault="00153E27" w:rsidP="003F36EE">
            <w:pPr>
              <w:autoSpaceDE w:val="0"/>
              <w:autoSpaceDN w:val="0"/>
              <w:adjustRightInd w:val="0"/>
            </w:pPr>
            <w:r w:rsidRPr="00B33993">
              <w:t>The working statem</w:t>
            </w:r>
            <w:r>
              <w:t xml:space="preserve">ent on social justice advocacy </w:t>
            </w:r>
            <w:r w:rsidRPr="00B33993">
              <w:t xml:space="preserve">was </w:t>
            </w:r>
            <w:r>
              <w:t xml:space="preserve">developed in order </w:t>
            </w:r>
            <w:r w:rsidRPr="00B33993">
              <w:t xml:space="preserve">to inform the development of </w:t>
            </w:r>
            <w:r w:rsidR="00BF2867">
              <w:t>T</w:t>
            </w:r>
            <w:r w:rsidRPr="00B33993">
              <w:t xml:space="preserve">he </w:t>
            </w:r>
            <w:r w:rsidR="00BF2867">
              <w:t xml:space="preserve">Advocacy </w:t>
            </w:r>
            <w:r w:rsidRPr="00B33993">
              <w:t>Initiative</w:t>
            </w:r>
            <w:r>
              <w:t>. The</w:t>
            </w:r>
            <w:r w:rsidRPr="00B33993">
              <w:t xml:space="preserve"> statement was also designed to inform </w:t>
            </w:r>
            <w:r>
              <w:t xml:space="preserve">and stimulate </w:t>
            </w:r>
            <w:r w:rsidRPr="00B33993">
              <w:t>conversations, debates and reflectio</w:t>
            </w:r>
            <w:r>
              <w:t>ns organised by the Initiative.</w:t>
            </w:r>
          </w:p>
        </w:tc>
        <w:tc>
          <w:tcPr>
            <w:tcW w:w="2010" w:type="dxa"/>
          </w:tcPr>
          <w:p w14:paraId="5B6B8DDF" w14:textId="77777777" w:rsidR="00153E27" w:rsidRPr="00B33993" w:rsidRDefault="00153E27" w:rsidP="003F36EE">
            <w:pPr>
              <w:autoSpaceDE w:val="0"/>
              <w:autoSpaceDN w:val="0"/>
              <w:adjustRightInd w:val="0"/>
            </w:pPr>
          </w:p>
        </w:tc>
      </w:tr>
      <w:tr w:rsidR="00153E27" w:rsidRPr="00B33993" w14:paraId="486EB4DA" w14:textId="77777777" w:rsidTr="00C466F2">
        <w:tc>
          <w:tcPr>
            <w:tcW w:w="2754" w:type="dxa"/>
          </w:tcPr>
          <w:p w14:paraId="3DFA5F33" w14:textId="77777777" w:rsidR="00153E27" w:rsidRDefault="00153E27" w:rsidP="003F36EE">
            <w:r w:rsidRPr="00B33993">
              <w:t>Guide to Social Justice Advocacy Training Opportunities</w:t>
            </w:r>
          </w:p>
          <w:p w14:paraId="4922FC59" w14:textId="77777777" w:rsidR="00153E27" w:rsidRPr="00B33993" w:rsidRDefault="00153E27" w:rsidP="003F36EE">
            <w:r>
              <w:t>(updated annually)</w:t>
            </w:r>
          </w:p>
        </w:tc>
        <w:tc>
          <w:tcPr>
            <w:tcW w:w="4558" w:type="dxa"/>
          </w:tcPr>
          <w:p w14:paraId="5E37AD7C" w14:textId="77777777" w:rsidR="00153E27" w:rsidRPr="00B33993" w:rsidRDefault="00153E27" w:rsidP="003F36EE">
            <w:pPr>
              <w:autoSpaceDE w:val="0"/>
              <w:autoSpaceDN w:val="0"/>
              <w:adjustRightInd w:val="0"/>
              <w:rPr>
                <w:rFonts w:cs="Helvetica"/>
              </w:rPr>
            </w:pPr>
            <w:r w:rsidRPr="00B33993">
              <w:t xml:space="preserve">This </w:t>
            </w:r>
            <w:r>
              <w:t xml:space="preserve">online guide </w:t>
            </w:r>
            <w:r w:rsidRPr="00B33993">
              <w:t xml:space="preserve">was compiled based on </w:t>
            </w:r>
            <w:r w:rsidRPr="00B33993">
              <w:rPr>
                <w:rFonts w:cs="Helvetica"/>
              </w:rPr>
              <w:t xml:space="preserve">research conducted by Irish Charities Tax Research (ICTR) for Atlantic Philanthropies. It was updated in </w:t>
            </w:r>
            <w:r>
              <w:rPr>
                <w:rFonts w:cs="Helvetica"/>
              </w:rPr>
              <w:t>2012, 2013</w:t>
            </w:r>
            <w:r w:rsidRPr="00B33993">
              <w:rPr>
                <w:rFonts w:cs="Helvetica"/>
              </w:rPr>
              <w:t xml:space="preserve"> and </w:t>
            </w:r>
            <w:r>
              <w:rPr>
                <w:rFonts w:cs="Helvetica"/>
              </w:rPr>
              <w:t>2014.</w:t>
            </w:r>
          </w:p>
        </w:tc>
        <w:tc>
          <w:tcPr>
            <w:tcW w:w="2010" w:type="dxa"/>
          </w:tcPr>
          <w:p w14:paraId="19074F02" w14:textId="77777777" w:rsidR="00153E27" w:rsidRPr="00B33993" w:rsidRDefault="00153E27" w:rsidP="003F36EE">
            <w:pPr>
              <w:autoSpaceDE w:val="0"/>
              <w:autoSpaceDN w:val="0"/>
              <w:adjustRightInd w:val="0"/>
            </w:pPr>
          </w:p>
        </w:tc>
      </w:tr>
      <w:tr w:rsidR="00153E27" w:rsidRPr="00B33993" w14:paraId="3F210A45" w14:textId="77777777" w:rsidTr="00C466F2">
        <w:tc>
          <w:tcPr>
            <w:tcW w:w="2754" w:type="dxa"/>
          </w:tcPr>
          <w:p w14:paraId="5A1CE0B7" w14:textId="77777777" w:rsidR="00153E27" w:rsidRPr="00B33993" w:rsidRDefault="00153E27" w:rsidP="003F36EE">
            <w:r w:rsidRPr="00B33993">
              <w:t>Mapping of Social Justice Advocacy In Ireland Study (2012)</w:t>
            </w:r>
            <w:r>
              <w:t xml:space="preserve"> (including five </w:t>
            </w:r>
            <w:r w:rsidRPr="00B33993">
              <w:t>case studies of effective social justice advocacy</w:t>
            </w:r>
            <w:r>
              <w:t>)</w:t>
            </w:r>
          </w:p>
        </w:tc>
        <w:tc>
          <w:tcPr>
            <w:tcW w:w="4558" w:type="dxa"/>
          </w:tcPr>
          <w:p w14:paraId="20E5BE4C" w14:textId="17CF156B" w:rsidR="00153E27" w:rsidRPr="00B33993" w:rsidRDefault="00153E27" w:rsidP="00BF2867">
            <w:r w:rsidRPr="00B33993">
              <w:t xml:space="preserve">This </w:t>
            </w:r>
            <w:r>
              <w:t xml:space="preserve">research examined and documented the breadth, </w:t>
            </w:r>
            <w:r w:rsidRPr="00B33993">
              <w:t>depth and practice of social justice advocacy with the non-profit sector in Ireland. It involved a postal survey</w:t>
            </w:r>
            <w:r w:rsidR="00BF2867">
              <w:t xml:space="preserve"> with</w:t>
            </w:r>
            <w:r w:rsidR="0081525A">
              <w:t xml:space="preserve"> </w:t>
            </w:r>
            <w:r w:rsidRPr="00B33993">
              <w:t xml:space="preserve">288 community and voluntary organisations </w:t>
            </w:r>
            <w:r w:rsidR="00523D4A">
              <w:t>respond</w:t>
            </w:r>
            <w:r w:rsidR="00BF2867">
              <w:t>ing</w:t>
            </w:r>
            <w:r w:rsidR="00523D4A">
              <w:t xml:space="preserve"> to the postal questionnaire</w:t>
            </w:r>
            <w:r w:rsidRPr="00B33993">
              <w:t>. It also involved a more in-depth online survey of the organisations who indicated that they were actively involved in social justice advocacy and well as benefiting from a discussion with key social justice advocates.  The study was complemented by five case study examples of effective social justice advocacy.</w:t>
            </w:r>
          </w:p>
        </w:tc>
        <w:tc>
          <w:tcPr>
            <w:tcW w:w="2010" w:type="dxa"/>
          </w:tcPr>
          <w:p w14:paraId="28C24014" w14:textId="77777777" w:rsidR="00153E27" w:rsidRPr="00B33993" w:rsidRDefault="00153E27" w:rsidP="003F36EE"/>
        </w:tc>
      </w:tr>
      <w:tr w:rsidR="00153E27" w:rsidRPr="00B33993" w14:paraId="13EFF78E" w14:textId="77777777" w:rsidTr="00C466F2">
        <w:tc>
          <w:tcPr>
            <w:tcW w:w="2754" w:type="dxa"/>
          </w:tcPr>
          <w:p w14:paraId="7193CC16" w14:textId="77777777" w:rsidR="00153E27" w:rsidRPr="00B33993" w:rsidRDefault="00153E27" w:rsidP="003F36EE">
            <w:r w:rsidRPr="00B33993">
              <w:t>Public Opinion Poll (Nov 2012)</w:t>
            </w:r>
          </w:p>
        </w:tc>
        <w:tc>
          <w:tcPr>
            <w:tcW w:w="4558" w:type="dxa"/>
            <w:vMerge w:val="restart"/>
          </w:tcPr>
          <w:p w14:paraId="4E094BB9" w14:textId="77777777" w:rsidR="00153E27" w:rsidRPr="00A2374E" w:rsidRDefault="00153E27" w:rsidP="003F36EE">
            <w:r w:rsidRPr="00A2374E">
              <w:t>The purpose of these polls (two online surveys of over 1,400 respondents over the age of 16) was to understand what the general public thought of the lobbying, campaigning and social justice advocacy work of the community and voluntary sector.</w:t>
            </w:r>
            <w:r w:rsidRPr="00A2374E">
              <w:rPr>
                <w:rFonts w:cs="Helvetica"/>
              </w:rPr>
              <w:t xml:space="preserve"> </w:t>
            </w:r>
          </w:p>
        </w:tc>
        <w:tc>
          <w:tcPr>
            <w:tcW w:w="2010" w:type="dxa"/>
          </w:tcPr>
          <w:p w14:paraId="55AAC90E" w14:textId="77777777" w:rsidR="00153E27" w:rsidRPr="00A2374E" w:rsidRDefault="00153E27" w:rsidP="003F36EE"/>
        </w:tc>
      </w:tr>
      <w:tr w:rsidR="00153E27" w:rsidRPr="00B33993" w14:paraId="7EF9DD56" w14:textId="77777777" w:rsidTr="00C466F2">
        <w:tc>
          <w:tcPr>
            <w:tcW w:w="2754" w:type="dxa"/>
          </w:tcPr>
          <w:p w14:paraId="77F8B16A" w14:textId="77777777" w:rsidR="00153E27" w:rsidRPr="00B33993" w:rsidRDefault="00153E27" w:rsidP="003F36EE">
            <w:r w:rsidRPr="00B33993">
              <w:t>Public Opinion Poll (June 2013)</w:t>
            </w:r>
          </w:p>
        </w:tc>
        <w:tc>
          <w:tcPr>
            <w:tcW w:w="4558" w:type="dxa"/>
            <w:vMerge/>
          </w:tcPr>
          <w:p w14:paraId="1ABB1D81" w14:textId="77777777" w:rsidR="00153E27" w:rsidRPr="00B33993" w:rsidRDefault="00153E27" w:rsidP="003F36EE">
            <w:pPr>
              <w:autoSpaceDE w:val="0"/>
              <w:autoSpaceDN w:val="0"/>
              <w:adjustRightInd w:val="0"/>
              <w:rPr>
                <w:rFonts w:cs="HelveticaNeue-Bold"/>
                <w:b/>
                <w:bCs/>
                <w:color w:val="FFFFFF"/>
              </w:rPr>
            </w:pPr>
          </w:p>
        </w:tc>
        <w:tc>
          <w:tcPr>
            <w:tcW w:w="2010" w:type="dxa"/>
          </w:tcPr>
          <w:p w14:paraId="1767AA38" w14:textId="77777777" w:rsidR="00153E27" w:rsidRPr="00B33993" w:rsidRDefault="00153E27" w:rsidP="003F36EE">
            <w:pPr>
              <w:autoSpaceDE w:val="0"/>
              <w:autoSpaceDN w:val="0"/>
              <w:adjustRightInd w:val="0"/>
              <w:rPr>
                <w:rFonts w:cs="HelveticaNeue-Bold"/>
                <w:b/>
                <w:bCs/>
                <w:color w:val="FFFFFF"/>
              </w:rPr>
            </w:pPr>
          </w:p>
        </w:tc>
      </w:tr>
      <w:tr w:rsidR="00153E27" w:rsidRPr="00B33993" w14:paraId="136F6D4D" w14:textId="77777777" w:rsidTr="00C466F2">
        <w:tc>
          <w:tcPr>
            <w:tcW w:w="2754" w:type="dxa"/>
          </w:tcPr>
          <w:p w14:paraId="52AD38E2" w14:textId="434E0125" w:rsidR="00153E27" w:rsidRDefault="00153E27" w:rsidP="003F36EE">
            <w:r w:rsidRPr="00B33993">
              <w:t>Who Cares About Social Justice Advocacy? What the public thinks</w:t>
            </w:r>
          </w:p>
          <w:p w14:paraId="5A6C0DB1" w14:textId="77777777" w:rsidR="00153E27" w:rsidRPr="00B33993" w:rsidRDefault="00153E27" w:rsidP="003F36EE">
            <w:r>
              <w:lastRenderedPageBreak/>
              <w:t>(2013)</w:t>
            </w:r>
          </w:p>
        </w:tc>
        <w:tc>
          <w:tcPr>
            <w:tcW w:w="4558" w:type="dxa"/>
          </w:tcPr>
          <w:p w14:paraId="7E562619" w14:textId="77777777" w:rsidR="00153E27" w:rsidRPr="00B33993" w:rsidRDefault="00153E27" w:rsidP="003F36EE">
            <w:pPr>
              <w:autoSpaceDE w:val="0"/>
              <w:autoSpaceDN w:val="0"/>
              <w:adjustRightInd w:val="0"/>
              <w:rPr>
                <w:rFonts w:cs="HelveticaNeue-Bold"/>
                <w:b/>
                <w:bCs/>
              </w:rPr>
            </w:pPr>
            <w:r w:rsidRPr="00B33993">
              <w:lastRenderedPageBreak/>
              <w:t>This is a summary of the findings emerging from the two public opinion polls</w:t>
            </w:r>
            <w:r w:rsidRPr="00B33993">
              <w:rPr>
                <w:rFonts w:cs="HelveticaNeue-Bold"/>
                <w:b/>
                <w:bCs/>
              </w:rPr>
              <w:t xml:space="preserve"> </w:t>
            </w:r>
          </w:p>
        </w:tc>
        <w:tc>
          <w:tcPr>
            <w:tcW w:w="2010" w:type="dxa"/>
          </w:tcPr>
          <w:p w14:paraId="4A009560" w14:textId="77777777" w:rsidR="00153E27" w:rsidRPr="00B33993" w:rsidRDefault="00153E27" w:rsidP="003F36EE">
            <w:pPr>
              <w:autoSpaceDE w:val="0"/>
              <w:autoSpaceDN w:val="0"/>
              <w:adjustRightInd w:val="0"/>
            </w:pPr>
          </w:p>
        </w:tc>
      </w:tr>
      <w:tr w:rsidR="00153E27" w:rsidRPr="00B33993" w14:paraId="12C6FF3F" w14:textId="77777777" w:rsidTr="00C466F2">
        <w:tc>
          <w:tcPr>
            <w:tcW w:w="2754" w:type="dxa"/>
          </w:tcPr>
          <w:p w14:paraId="34C0EC41" w14:textId="77777777" w:rsidR="00153E27" w:rsidRPr="00B33993" w:rsidRDefault="00153E27" w:rsidP="003F36EE">
            <w:r w:rsidRPr="00B33993">
              <w:lastRenderedPageBreak/>
              <w:t xml:space="preserve">Funding Dissent Study </w:t>
            </w:r>
          </w:p>
          <w:p w14:paraId="683445D0" w14:textId="77777777" w:rsidR="00153E27" w:rsidRPr="00B33993" w:rsidRDefault="00153E27" w:rsidP="003F36EE">
            <w:r w:rsidRPr="00B33993">
              <w:t xml:space="preserve">Research into the Impact of Advocacy on State Funding of Voluntary and Community Organisations </w:t>
            </w:r>
          </w:p>
          <w:p w14:paraId="3867325A" w14:textId="228EC967" w:rsidR="00153E27" w:rsidRPr="00B33993" w:rsidRDefault="00153E27" w:rsidP="003F36EE">
            <w:r w:rsidRPr="00B33993">
              <w:t>(2013)</w:t>
            </w:r>
          </w:p>
        </w:tc>
        <w:tc>
          <w:tcPr>
            <w:tcW w:w="4558" w:type="dxa"/>
          </w:tcPr>
          <w:p w14:paraId="6A036ED9" w14:textId="77777777" w:rsidR="00153E27" w:rsidRPr="00B33993" w:rsidRDefault="00153E27" w:rsidP="003F36EE">
            <w:pPr>
              <w:autoSpaceDE w:val="0"/>
              <w:autoSpaceDN w:val="0"/>
              <w:adjustRightInd w:val="0"/>
              <w:rPr>
                <w:rFonts w:cs="Gotham-Book"/>
                <w:color w:val="4D4D4D"/>
              </w:rPr>
            </w:pPr>
            <w:r w:rsidRPr="00B33993">
              <w:t xml:space="preserve">This </w:t>
            </w:r>
            <w:r>
              <w:t xml:space="preserve">study explored </w:t>
            </w:r>
            <w:r w:rsidRPr="00B33993">
              <w:t xml:space="preserve">the link between advocacy and funding in </w:t>
            </w:r>
            <w:r>
              <w:t xml:space="preserve">both an </w:t>
            </w:r>
            <w:r w:rsidRPr="00B33993">
              <w:t>international and an Irish context. It found</w:t>
            </w:r>
            <w:r>
              <w:t xml:space="preserve"> in the Irish context </w:t>
            </w:r>
            <w:r w:rsidRPr="00B33993">
              <w:t>inconsistent practice by government, with both provision for and prohib</w:t>
            </w:r>
            <w:r>
              <w:t>ition of advocacy work. It found</w:t>
            </w:r>
            <w:r w:rsidRPr="00B33993">
              <w:t xml:space="preserve"> no evidence of hostility toward the advocacy work of voluntary organisations in the Oireachtas, indifference being identified as the greater prob</w:t>
            </w:r>
            <w:r>
              <w:t>lem. It did indicate</w:t>
            </w:r>
            <w:r w:rsidRPr="00B33993">
              <w:t xml:space="preserve"> that further examination of the impact of the application of service level agreements</w:t>
            </w:r>
            <w:r>
              <w:t xml:space="preserve"> that prohibit advocacy work would be </w:t>
            </w:r>
            <w:r w:rsidRPr="00B33993">
              <w:t>merited</w:t>
            </w:r>
            <w:r w:rsidRPr="00B33993">
              <w:rPr>
                <w:rFonts w:cs="Gotham-Book"/>
                <w:color w:val="4D4D4D"/>
              </w:rPr>
              <w:t>.</w:t>
            </w:r>
          </w:p>
        </w:tc>
        <w:tc>
          <w:tcPr>
            <w:tcW w:w="2010" w:type="dxa"/>
          </w:tcPr>
          <w:p w14:paraId="20C077F7" w14:textId="77777777" w:rsidR="00153E27" w:rsidRPr="00B33993" w:rsidRDefault="00153E27" w:rsidP="003F36EE">
            <w:pPr>
              <w:autoSpaceDE w:val="0"/>
              <w:autoSpaceDN w:val="0"/>
              <w:adjustRightInd w:val="0"/>
            </w:pPr>
          </w:p>
        </w:tc>
      </w:tr>
      <w:tr w:rsidR="00153E27" w:rsidRPr="00B33993" w14:paraId="63016A3D" w14:textId="77777777" w:rsidTr="00C466F2">
        <w:tc>
          <w:tcPr>
            <w:tcW w:w="2754" w:type="dxa"/>
          </w:tcPr>
          <w:p w14:paraId="773AD66C" w14:textId="77777777" w:rsidR="00153E27" w:rsidRPr="00B33993" w:rsidRDefault="00153E27" w:rsidP="003F36EE">
            <w:r w:rsidRPr="00B33993">
              <w:t>“In Other Words”</w:t>
            </w:r>
          </w:p>
          <w:p w14:paraId="2740D277" w14:textId="77777777" w:rsidR="00153E27" w:rsidRPr="00B33993" w:rsidRDefault="00153E27" w:rsidP="003F36EE">
            <w:r w:rsidRPr="00B33993">
              <w:t>Policy Makers’ Perceptions</w:t>
            </w:r>
          </w:p>
          <w:p w14:paraId="7CD6E1FD" w14:textId="77777777" w:rsidR="00153E27" w:rsidRPr="00B33993" w:rsidRDefault="00153E27" w:rsidP="003F36EE">
            <w:r w:rsidRPr="00B33993">
              <w:t>of Social Justice Advocacy (2013)</w:t>
            </w:r>
          </w:p>
        </w:tc>
        <w:tc>
          <w:tcPr>
            <w:tcW w:w="4558" w:type="dxa"/>
          </w:tcPr>
          <w:p w14:paraId="5AA8A10B" w14:textId="77777777" w:rsidR="00153E27" w:rsidRPr="00B33993" w:rsidRDefault="00153E27" w:rsidP="003F36EE">
            <w:pPr>
              <w:autoSpaceDE w:val="0"/>
              <w:autoSpaceDN w:val="0"/>
              <w:adjustRightInd w:val="0"/>
            </w:pPr>
            <w:r>
              <w:t>This research explored</w:t>
            </w:r>
            <w:r w:rsidRPr="00B33993">
              <w:t xml:space="preserve"> 33 policy makers and influencers (including elected representatives, experts, advisors, </w:t>
            </w:r>
            <w:proofErr w:type="gramStart"/>
            <w:r w:rsidRPr="00B33993">
              <w:t>researchers</w:t>
            </w:r>
            <w:proofErr w:type="gramEnd"/>
            <w:r w:rsidRPr="00B33993">
              <w:t xml:space="preserve"> for political parties, key public/civil servants, state/semi-state agency representatives) views on social justice advocacy. The study was conducted using a participatory research approach with seven social justice advocates involved in the research process. </w:t>
            </w:r>
          </w:p>
        </w:tc>
        <w:tc>
          <w:tcPr>
            <w:tcW w:w="2010" w:type="dxa"/>
          </w:tcPr>
          <w:p w14:paraId="1236FFD6" w14:textId="77777777" w:rsidR="00153E27" w:rsidRDefault="00153E27" w:rsidP="003F36EE">
            <w:pPr>
              <w:autoSpaceDE w:val="0"/>
              <w:autoSpaceDN w:val="0"/>
              <w:adjustRightInd w:val="0"/>
            </w:pPr>
          </w:p>
        </w:tc>
      </w:tr>
      <w:tr w:rsidR="00523D4A" w:rsidRPr="00B33993" w14:paraId="5A6EA30D" w14:textId="77777777" w:rsidTr="00C466F2">
        <w:tc>
          <w:tcPr>
            <w:tcW w:w="2754" w:type="dxa"/>
          </w:tcPr>
          <w:p w14:paraId="61DF973F" w14:textId="77777777" w:rsidR="00523D4A" w:rsidRPr="00B33993" w:rsidRDefault="00523D4A" w:rsidP="00BD6B9A">
            <w:r w:rsidRPr="00B33993">
              <w:t xml:space="preserve">The Regulatory Environment for Social Justice Advocacy in Ireland </w:t>
            </w:r>
            <w:r>
              <w:t>(2013)</w:t>
            </w:r>
          </w:p>
        </w:tc>
        <w:tc>
          <w:tcPr>
            <w:tcW w:w="4558" w:type="dxa"/>
          </w:tcPr>
          <w:p w14:paraId="59BA4319" w14:textId="77777777" w:rsidR="00523D4A" w:rsidRPr="00B33993" w:rsidRDefault="00523D4A" w:rsidP="00BD6B9A">
            <w:pPr>
              <w:autoSpaceDE w:val="0"/>
              <w:autoSpaceDN w:val="0"/>
              <w:adjustRightInd w:val="0"/>
              <w:rPr>
                <w:rFonts w:cs="Apercu-Regular"/>
              </w:rPr>
            </w:pPr>
            <w:r w:rsidRPr="00B33993">
              <w:t xml:space="preserve">This </w:t>
            </w:r>
            <w:r>
              <w:t xml:space="preserve">study offers </w:t>
            </w:r>
            <w:r w:rsidRPr="00B33993">
              <w:t xml:space="preserve">an overview of the regulations, both formal and informal, which affect the social justice advocacy environment in Ireland.  It also anticipates the challenges that will be posed for the sector with the introduction of legislation in relation to the Regulation of Lobbyists and the Charities Act </w:t>
            </w:r>
          </w:p>
        </w:tc>
        <w:tc>
          <w:tcPr>
            <w:tcW w:w="2010" w:type="dxa"/>
          </w:tcPr>
          <w:p w14:paraId="59ACEF8C" w14:textId="77777777" w:rsidR="00523D4A" w:rsidRPr="00B33993" w:rsidRDefault="00523D4A" w:rsidP="00BD6B9A">
            <w:pPr>
              <w:autoSpaceDE w:val="0"/>
              <w:autoSpaceDN w:val="0"/>
              <w:adjustRightInd w:val="0"/>
            </w:pPr>
          </w:p>
        </w:tc>
      </w:tr>
      <w:tr w:rsidR="00153E27" w:rsidRPr="00B33993" w14:paraId="1B5FA362" w14:textId="77777777" w:rsidTr="00C466F2">
        <w:tc>
          <w:tcPr>
            <w:tcW w:w="2754" w:type="dxa"/>
          </w:tcPr>
          <w:p w14:paraId="48559A86" w14:textId="776E374D" w:rsidR="00153E27" w:rsidRPr="00B33993" w:rsidRDefault="001E41EA" w:rsidP="003F36EE">
            <w:r w:rsidRPr="00B33993">
              <w:t>“Are</w:t>
            </w:r>
            <w:r w:rsidR="00153E27" w:rsidRPr="00B33993">
              <w:t xml:space="preserve"> we paying for that?” - Government Funding and Social Justice Advocacy (2014) </w:t>
            </w:r>
          </w:p>
        </w:tc>
        <w:tc>
          <w:tcPr>
            <w:tcW w:w="4558" w:type="dxa"/>
          </w:tcPr>
          <w:p w14:paraId="1715E3E5" w14:textId="3D3B7F70" w:rsidR="00153E27" w:rsidRPr="00B33993" w:rsidRDefault="00153E27" w:rsidP="003F36EE">
            <w:pPr>
              <w:autoSpaceDE w:val="0"/>
              <w:autoSpaceDN w:val="0"/>
              <w:adjustRightInd w:val="0"/>
            </w:pPr>
            <w:r w:rsidRPr="00B33993">
              <w:t xml:space="preserve">This </w:t>
            </w:r>
            <w:r>
              <w:t xml:space="preserve">study explored </w:t>
            </w:r>
            <w:r w:rsidRPr="00B33993">
              <w:t>the funding relationship between the state and voluntary and community organi</w:t>
            </w:r>
            <w:r w:rsidR="00BF2867">
              <w:t>s</w:t>
            </w:r>
            <w:r w:rsidRPr="00B33993">
              <w:t>ations engaged in pub</w:t>
            </w:r>
            <w:r>
              <w:t xml:space="preserve">lic policy advocacy in Ireland from the perspective of the </w:t>
            </w:r>
            <w:r w:rsidRPr="00B33993">
              <w:t xml:space="preserve">voluntary and community </w:t>
            </w:r>
            <w:r>
              <w:t>sector. It found relationships</w:t>
            </w:r>
            <w:r w:rsidRPr="00B33993">
              <w:t xml:space="preserve"> on a continuum </w:t>
            </w:r>
            <w:r>
              <w:t xml:space="preserve">from the </w:t>
            </w:r>
            <w:r w:rsidRPr="00B33993">
              <w:t>inhibition and suppression of advocacy</w:t>
            </w:r>
            <w:r>
              <w:rPr>
                <w:rFonts w:cs="Calibre-Regular"/>
              </w:rPr>
              <w:t xml:space="preserve"> to active and positive support for advocacy work.</w:t>
            </w:r>
          </w:p>
        </w:tc>
        <w:tc>
          <w:tcPr>
            <w:tcW w:w="2010" w:type="dxa"/>
          </w:tcPr>
          <w:p w14:paraId="3DD47A2B" w14:textId="77777777" w:rsidR="00153E27" w:rsidRPr="00B33993" w:rsidRDefault="00153E27" w:rsidP="003F36EE">
            <w:pPr>
              <w:autoSpaceDE w:val="0"/>
              <w:autoSpaceDN w:val="0"/>
              <w:adjustRightInd w:val="0"/>
            </w:pPr>
          </w:p>
        </w:tc>
      </w:tr>
      <w:tr w:rsidR="00153E27" w:rsidRPr="00B33993" w14:paraId="4CFFAF8E" w14:textId="77777777" w:rsidTr="00C466F2">
        <w:tc>
          <w:tcPr>
            <w:tcW w:w="2754" w:type="dxa"/>
          </w:tcPr>
          <w:p w14:paraId="404608DB" w14:textId="4486E221" w:rsidR="00153E27" w:rsidRPr="00B33993" w:rsidRDefault="00523D4A" w:rsidP="00A17BF2">
            <w:r>
              <w:t>www.assessyouradvocacy.ie</w:t>
            </w:r>
            <w:r w:rsidR="00153E27">
              <w:t xml:space="preserve">  </w:t>
            </w:r>
          </w:p>
        </w:tc>
        <w:tc>
          <w:tcPr>
            <w:tcW w:w="4558" w:type="dxa"/>
          </w:tcPr>
          <w:p w14:paraId="59CE950B" w14:textId="77777777" w:rsidR="00153E27" w:rsidRPr="00B33993" w:rsidRDefault="00153E27" w:rsidP="00A17BF2">
            <w:pPr>
              <w:autoSpaceDE w:val="0"/>
              <w:autoSpaceDN w:val="0"/>
              <w:adjustRightInd w:val="0"/>
            </w:pPr>
            <w:r w:rsidRPr="00B33993">
              <w:t xml:space="preserve">This </w:t>
            </w:r>
            <w:r>
              <w:t xml:space="preserve">online </w:t>
            </w:r>
            <w:r w:rsidRPr="00B33993">
              <w:t xml:space="preserve">tool </w:t>
            </w:r>
            <w:r>
              <w:t xml:space="preserve">is designed to </w:t>
            </w:r>
            <w:r w:rsidRPr="00B33993">
              <w:t xml:space="preserve">help </w:t>
            </w:r>
            <w:r>
              <w:t xml:space="preserve">support </w:t>
            </w:r>
            <w:r w:rsidRPr="00B33993">
              <w:t xml:space="preserve">community and voluntary sector organisations and coalitions </w:t>
            </w:r>
            <w:r>
              <w:t xml:space="preserve">a) </w:t>
            </w:r>
            <w:r w:rsidRPr="00B33993">
              <w:t>meas</w:t>
            </w:r>
            <w:r>
              <w:t xml:space="preserve">ure their advocacy capacity, b) </w:t>
            </w:r>
            <w:r w:rsidRPr="00B33993">
              <w:t>identify activity area</w:t>
            </w:r>
            <w:r>
              <w:t>s that need to be strengthened and c) identify indicators to measure progress.</w:t>
            </w:r>
          </w:p>
        </w:tc>
        <w:tc>
          <w:tcPr>
            <w:tcW w:w="2010" w:type="dxa"/>
          </w:tcPr>
          <w:p w14:paraId="6538BEE1" w14:textId="77777777" w:rsidR="00153E27" w:rsidRPr="00B33993" w:rsidRDefault="00153E27" w:rsidP="00A17BF2">
            <w:pPr>
              <w:autoSpaceDE w:val="0"/>
              <w:autoSpaceDN w:val="0"/>
              <w:adjustRightInd w:val="0"/>
            </w:pPr>
          </w:p>
        </w:tc>
      </w:tr>
      <w:tr w:rsidR="00153E27" w:rsidRPr="00B33993" w14:paraId="3888D09B" w14:textId="77777777" w:rsidTr="00C466F2">
        <w:tc>
          <w:tcPr>
            <w:tcW w:w="2754" w:type="dxa"/>
          </w:tcPr>
          <w:p w14:paraId="07FEB10F" w14:textId="77777777" w:rsidR="00153E27" w:rsidRPr="00B33993" w:rsidRDefault="00153E27" w:rsidP="003F36EE">
            <w:r>
              <w:t>Evaluation Indicators</w:t>
            </w:r>
          </w:p>
        </w:tc>
        <w:tc>
          <w:tcPr>
            <w:tcW w:w="4558" w:type="dxa"/>
          </w:tcPr>
          <w:p w14:paraId="50DB3117" w14:textId="1AA370D7" w:rsidR="00153E27" w:rsidRPr="00B33993" w:rsidRDefault="00523D4A" w:rsidP="00D77F2C">
            <w:pPr>
              <w:autoSpaceDE w:val="0"/>
              <w:autoSpaceDN w:val="0"/>
              <w:adjustRightInd w:val="0"/>
            </w:pPr>
            <w:r>
              <w:t>Th</w:t>
            </w:r>
            <w:r w:rsidR="00D77F2C">
              <w:t xml:space="preserve">is tool provides </w:t>
            </w:r>
            <w:r>
              <w:t xml:space="preserve">a framework to </w:t>
            </w:r>
            <w:r w:rsidR="00D77F2C">
              <w:t xml:space="preserve">enable </w:t>
            </w:r>
            <w:r>
              <w:t xml:space="preserve">advocates and their organisation to identify their own indicators for effectiveness.  The purpose of these indicators is to support those doing social justice advocacy answer the question: How do we know our advocacy is working? The indicators were developed though focus group discussion with experienced social </w:t>
            </w:r>
            <w:r>
              <w:lastRenderedPageBreak/>
              <w:t xml:space="preserve">justice advocates </w:t>
            </w:r>
            <w:r w:rsidRPr="007C54C3">
              <w:t>working across a broad range of areas and involved in reflecting on advocacy through their</w:t>
            </w:r>
            <w:r>
              <w:t xml:space="preserve"> </w:t>
            </w:r>
            <w:r w:rsidRPr="007C54C3">
              <w:t>participation in the Initiative</w:t>
            </w:r>
            <w:r>
              <w:t>.</w:t>
            </w:r>
          </w:p>
        </w:tc>
        <w:tc>
          <w:tcPr>
            <w:tcW w:w="2010" w:type="dxa"/>
          </w:tcPr>
          <w:p w14:paraId="03F71261" w14:textId="77777777" w:rsidR="00153E27" w:rsidRPr="00B33993" w:rsidRDefault="00153E27" w:rsidP="003F36EE">
            <w:pPr>
              <w:autoSpaceDE w:val="0"/>
              <w:autoSpaceDN w:val="0"/>
              <w:adjustRightInd w:val="0"/>
            </w:pPr>
          </w:p>
        </w:tc>
      </w:tr>
      <w:tr w:rsidR="00153E27" w:rsidRPr="00B33993" w14:paraId="154417AE" w14:textId="77777777" w:rsidTr="00C466F2">
        <w:tc>
          <w:tcPr>
            <w:tcW w:w="2754" w:type="dxa"/>
          </w:tcPr>
          <w:p w14:paraId="73B79B14" w14:textId="77777777" w:rsidR="00153E27" w:rsidRPr="00B33993" w:rsidRDefault="00153E27" w:rsidP="003F36EE">
            <w:r w:rsidRPr="00B33993">
              <w:lastRenderedPageBreak/>
              <w:t>Knowledge Exchange Fora</w:t>
            </w:r>
            <w:r>
              <w:t xml:space="preserve"> Outputs</w:t>
            </w:r>
          </w:p>
        </w:tc>
        <w:tc>
          <w:tcPr>
            <w:tcW w:w="4558" w:type="dxa"/>
          </w:tcPr>
          <w:p w14:paraId="65C5471F" w14:textId="2E94D0B1" w:rsidR="00153E27" w:rsidRPr="00B33993" w:rsidRDefault="00153E27" w:rsidP="003F36EE">
            <w:pPr>
              <w:autoSpaceDE w:val="0"/>
              <w:autoSpaceDN w:val="0"/>
              <w:adjustRightInd w:val="0"/>
            </w:pPr>
            <w:r>
              <w:t>Various r</w:t>
            </w:r>
            <w:r w:rsidRPr="00B33993">
              <w:t>eports, presentations and videos</w:t>
            </w:r>
            <w:r>
              <w:t xml:space="preserve"> (all available on </w:t>
            </w:r>
            <w:r w:rsidR="00BF2867">
              <w:t>T</w:t>
            </w:r>
            <w:r>
              <w:t>he Advocacy Initiative website)</w:t>
            </w:r>
          </w:p>
        </w:tc>
        <w:tc>
          <w:tcPr>
            <w:tcW w:w="2010" w:type="dxa"/>
          </w:tcPr>
          <w:p w14:paraId="5C467003" w14:textId="77777777" w:rsidR="00153E27" w:rsidRDefault="00153E27" w:rsidP="003F36EE">
            <w:pPr>
              <w:autoSpaceDE w:val="0"/>
              <w:autoSpaceDN w:val="0"/>
              <w:adjustRightInd w:val="0"/>
            </w:pPr>
          </w:p>
        </w:tc>
      </w:tr>
      <w:tr w:rsidR="00153E27" w:rsidRPr="00B33993" w14:paraId="25F806B9" w14:textId="77777777" w:rsidTr="00C466F2">
        <w:tc>
          <w:tcPr>
            <w:tcW w:w="2754" w:type="dxa"/>
          </w:tcPr>
          <w:p w14:paraId="704D39F6" w14:textId="77777777" w:rsidR="00153E27" w:rsidRPr="00B33993" w:rsidRDefault="00153E27" w:rsidP="003F36EE">
            <w:r w:rsidRPr="00B33993">
              <w:t>Guest Blogs</w:t>
            </w:r>
          </w:p>
        </w:tc>
        <w:tc>
          <w:tcPr>
            <w:tcW w:w="4558" w:type="dxa"/>
          </w:tcPr>
          <w:p w14:paraId="5DB584B5" w14:textId="169BF182" w:rsidR="00153E27" w:rsidRDefault="005B2339" w:rsidP="003F36EE">
            <w:pPr>
              <w:autoSpaceDE w:val="0"/>
              <w:autoSpaceDN w:val="0"/>
              <w:adjustRightInd w:val="0"/>
            </w:pPr>
            <w:r>
              <w:t xml:space="preserve">20 </w:t>
            </w:r>
            <w:r w:rsidR="00153E27">
              <w:t xml:space="preserve">guest blogs </w:t>
            </w:r>
          </w:p>
          <w:p w14:paraId="17B0F4CA" w14:textId="77777777" w:rsidR="00153E27" w:rsidRPr="00B33993" w:rsidRDefault="00153E27" w:rsidP="003F36EE">
            <w:pPr>
              <w:pStyle w:val="ListParagraph"/>
              <w:autoSpaceDE w:val="0"/>
              <w:autoSpaceDN w:val="0"/>
              <w:adjustRightInd w:val="0"/>
            </w:pPr>
          </w:p>
        </w:tc>
        <w:tc>
          <w:tcPr>
            <w:tcW w:w="2010" w:type="dxa"/>
          </w:tcPr>
          <w:p w14:paraId="7AABA579" w14:textId="77777777" w:rsidR="00153E27" w:rsidRDefault="00153E27" w:rsidP="003F36EE">
            <w:pPr>
              <w:autoSpaceDE w:val="0"/>
              <w:autoSpaceDN w:val="0"/>
              <w:adjustRightInd w:val="0"/>
            </w:pPr>
          </w:p>
        </w:tc>
      </w:tr>
      <w:tr w:rsidR="00153E27" w:rsidRPr="00B33993" w14:paraId="78321B1E" w14:textId="77777777" w:rsidTr="00C466F2">
        <w:tc>
          <w:tcPr>
            <w:tcW w:w="2754" w:type="dxa"/>
          </w:tcPr>
          <w:p w14:paraId="3726B31C" w14:textId="77777777" w:rsidR="00153E27" w:rsidRPr="00B33993" w:rsidRDefault="00153E27" w:rsidP="003F36EE">
            <w:r w:rsidRPr="00B33993">
              <w:t>The Advocacy Initiative Website</w:t>
            </w:r>
          </w:p>
        </w:tc>
        <w:tc>
          <w:tcPr>
            <w:tcW w:w="4558" w:type="dxa"/>
          </w:tcPr>
          <w:p w14:paraId="62B21316" w14:textId="769DD0C5" w:rsidR="00153E27" w:rsidRPr="00B33993" w:rsidRDefault="00632A79" w:rsidP="00153E27">
            <w:pPr>
              <w:autoSpaceDE w:val="0"/>
              <w:autoSpaceDN w:val="0"/>
              <w:adjustRightInd w:val="0"/>
            </w:pPr>
            <w:hyperlink r:id="rId25" w:history="1">
              <w:r w:rsidR="00BF2867" w:rsidRPr="00E601C5">
                <w:rPr>
                  <w:rStyle w:val="Hyperlink"/>
                </w:rPr>
                <w:t>www.advocacyinitiative.ie</w:t>
              </w:r>
            </w:hyperlink>
            <w:r w:rsidR="00BF2867">
              <w:t xml:space="preserve"> </w:t>
            </w:r>
          </w:p>
        </w:tc>
        <w:tc>
          <w:tcPr>
            <w:tcW w:w="2010" w:type="dxa"/>
          </w:tcPr>
          <w:p w14:paraId="64930BA1" w14:textId="77777777" w:rsidR="00153E27" w:rsidRDefault="00153E27" w:rsidP="00153E27">
            <w:pPr>
              <w:autoSpaceDE w:val="0"/>
              <w:autoSpaceDN w:val="0"/>
              <w:adjustRightInd w:val="0"/>
            </w:pPr>
          </w:p>
        </w:tc>
      </w:tr>
      <w:tr w:rsidR="00153E27" w:rsidRPr="00B33993" w14:paraId="2C937D96" w14:textId="77777777" w:rsidTr="00C466F2">
        <w:tc>
          <w:tcPr>
            <w:tcW w:w="2754" w:type="dxa"/>
          </w:tcPr>
          <w:p w14:paraId="354742DD" w14:textId="77777777" w:rsidR="00153E27" w:rsidRPr="00B33993" w:rsidRDefault="00153E27" w:rsidP="003F36EE">
            <w:r>
              <w:t>Advocacy Posts (N</w:t>
            </w:r>
            <w:r w:rsidRPr="00B33993">
              <w:t>ewsletter of the Advocacy Initiative</w:t>
            </w:r>
            <w:r>
              <w:t>)</w:t>
            </w:r>
          </w:p>
        </w:tc>
        <w:tc>
          <w:tcPr>
            <w:tcW w:w="4558" w:type="dxa"/>
          </w:tcPr>
          <w:p w14:paraId="09DCE098" w14:textId="5ED66208" w:rsidR="00153E27" w:rsidRPr="00B33993" w:rsidRDefault="00523D4A" w:rsidP="003F36EE">
            <w:r>
              <w:t xml:space="preserve">Post were sent on a </w:t>
            </w:r>
            <w:r w:rsidRPr="00B33993">
              <w:t xml:space="preserve">monthly </w:t>
            </w:r>
            <w:r>
              <w:t xml:space="preserve">basis </w:t>
            </w:r>
            <w:r w:rsidRPr="00B33993">
              <w:t xml:space="preserve">to </w:t>
            </w:r>
            <w:r w:rsidR="00D77F2C">
              <w:t>approximately</w:t>
            </w:r>
            <w:r>
              <w:t xml:space="preserve"> 800 people. </w:t>
            </w:r>
            <w:r w:rsidRPr="00B33993">
              <w:t>The</w:t>
            </w:r>
            <w:r>
              <w:t>se</w:t>
            </w:r>
            <w:r w:rsidRPr="00B33993">
              <w:t xml:space="preserve"> posts drove traffic to the website and encouraged engagement with Advocacy Initiative research, news and events.  </w:t>
            </w:r>
          </w:p>
        </w:tc>
        <w:tc>
          <w:tcPr>
            <w:tcW w:w="2010" w:type="dxa"/>
          </w:tcPr>
          <w:p w14:paraId="79A0E58E" w14:textId="77777777" w:rsidR="00153E27" w:rsidRPr="00B33993" w:rsidRDefault="00153E27" w:rsidP="003F36EE"/>
        </w:tc>
      </w:tr>
    </w:tbl>
    <w:p w14:paraId="581EDE59" w14:textId="77777777" w:rsidR="001C1C94" w:rsidRPr="007735CD" w:rsidRDefault="001C1C94" w:rsidP="006D4BAC">
      <w:pPr>
        <w:spacing w:line="240" w:lineRule="auto"/>
      </w:pPr>
    </w:p>
    <w:sectPr w:rsidR="001C1C94" w:rsidRPr="007735CD" w:rsidSect="003E70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3991" w14:textId="77777777" w:rsidR="00241B6E" w:rsidRDefault="00241B6E" w:rsidP="001C1C94">
      <w:pPr>
        <w:spacing w:after="0" w:line="240" w:lineRule="auto"/>
      </w:pPr>
      <w:r>
        <w:separator/>
      </w:r>
    </w:p>
  </w:endnote>
  <w:endnote w:type="continuationSeparator" w:id="0">
    <w:p w14:paraId="685678EF" w14:textId="77777777" w:rsidR="00241B6E" w:rsidRDefault="00241B6E" w:rsidP="001C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raphik Regular">
    <w:altName w:val="Graphik 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Calibre-Regular">
    <w:panose1 w:val="00000000000000000000"/>
    <w:charset w:val="00"/>
    <w:family w:val="swiss"/>
    <w:notTrueType/>
    <w:pitch w:val="default"/>
    <w:sig w:usb0="00000003" w:usb1="00000000" w:usb2="00000000" w:usb3="00000000" w:csb0="00000001" w:csb1="00000000"/>
  </w:font>
  <w:font w:name="Apercu-Regular">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ans">
    <w:panose1 w:val="00000000000000000000"/>
    <w:charset w:val="00"/>
    <w:family w:val="auto"/>
    <w:notTrueType/>
    <w:pitch w:val="default"/>
    <w:sig w:usb0="00000003" w:usb1="00000000" w:usb2="00000000" w:usb3="00000000" w:csb0="00000001" w:csb1="00000000"/>
  </w:font>
  <w:font w:name="HelveticaNeue">
    <w:altName w:val="Helvetica Neue"/>
    <w:panose1 w:val="00000000000000000000"/>
    <w:charset w:val="00"/>
    <w:family w:val="auto"/>
    <w:notTrueType/>
    <w:pitch w:val="default"/>
    <w:sig w:usb0="00000003" w:usb1="00000000" w:usb2="00000000" w:usb3="00000000" w:csb0="00000001" w:csb1="00000000"/>
  </w:font>
  <w:font w:name="HelveticaNeueLT-Roman">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Graphik-Regular">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189054"/>
      <w:docPartObj>
        <w:docPartGallery w:val="Page Numbers (Bottom of Page)"/>
        <w:docPartUnique/>
      </w:docPartObj>
    </w:sdtPr>
    <w:sdtEndPr>
      <w:rPr>
        <w:noProof/>
      </w:rPr>
    </w:sdtEndPr>
    <w:sdtContent>
      <w:p w14:paraId="7DBE9C4B" w14:textId="62534398" w:rsidR="00441B0D" w:rsidRDefault="00441B0D">
        <w:pPr>
          <w:pStyle w:val="Footer"/>
          <w:jc w:val="center"/>
        </w:pPr>
        <w:r>
          <w:fldChar w:fldCharType="begin"/>
        </w:r>
        <w:r>
          <w:instrText xml:space="preserve"> PAGE   \* MERGEFORMAT </w:instrText>
        </w:r>
        <w:r>
          <w:fldChar w:fldCharType="separate"/>
        </w:r>
        <w:r w:rsidR="00423623">
          <w:rPr>
            <w:noProof/>
          </w:rPr>
          <w:t>1</w:t>
        </w:r>
        <w:r>
          <w:rPr>
            <w:noProof/>
          </w:rPr>
          <w:fldChar w:fldCharType="end"/>
        </w:r>
      </w:p>
    </w:sdtContent>
  </w:sdt>
  <w:p w14:paraId="1EA79551" w14:textId="77777777" w:rsidR="00632A79" w:rsidRDefault="00632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0C9A3" w14:textId="77777777" w:rsidR="00241B6E" w:rsidRDefault="00241B6E" w:rsidP="001C1C94">
      <w:pPr>
        <w:spacing w:after="0" w:line="240" w:lineRule="auto"/>
      </w:pPr>
      <w:r>
        <w:separator/>
      </w:r>
    </w:p>
  </w:footnote>
  <w:footnote w:type="continuationSeparator" w:id="0">
    <w:p w14:paraId="4FBACD1C" w14:textId="77777777" w:rsidR="00241B6E" w:rsidRDefault="00241B6E" w:rsidP="001C1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17D"/>
    <w:multiLevelType w:val="hybridMultilevel"/>
    <w:tmpl w:val="CF464AD0"/>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46B43"/>
    <w:multiLevelType w:val="hybridMultilevel"/>
    <w:tmpl w:val="6D5253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041B1"/>
    <w:multiLevelType w:val="hybridMultilevel"/>
    <w:tmpl w:val="D9681756"/>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6B6916"/>
    <w:multiLevelType w:val="hybridMultilevel"/>
    <w:tmpl w:val="83805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D112347"/>
    <w:multiLevelType w:val="hybridMultilevel"/>
    <w:tmpl w:val="25BAA89A"/>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90D19"/>
    <w:multiLevelType w:val="hybridMultilevel"/>
    <w:tmpl w:val="759E8C94"/>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F2B51"/>
    <w:multiLevelType w:val="hybridMultilevel"/>
    <w:tmpl w:val="18DC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7E33B1"/>
    <w:multiLevelType w:val="hybridMultilevel"/>
    <w:tmpl w:val="B4FA633C"/>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5213D"/>
    <w:multiLevelType w:val="hybridMultilevel"/>
    <w:tmpl w:val="8E7C9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5A1F0D"/>
    <w:multiLevelType w:val="hybridMultilevel"/>
    <w:tmpl w:val="F45E5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ED4EFD"/>
    <w:multiLevelType w:val="hybridMultilevel"/>
    <w:tmpl w:val="08D898E4"/>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1C514B"/>
    <w:multiLevelType w:val="hybridMultilevel"/>
    <w:tmpl w:val="D2E2B20A"/>
    <w:lvl w:ilvl="0" w:tplc="C6B2450E">
      <w:start w:val="1"/>
      <w:numFmt w:val="bullet"/>
      <w:lvlText w:val="•"/>
      <w:lvlJc w:val="left"/>
      <w:pPr>
        <w:tabs>
          <w:tab w:val="num" w:pos="720"/>
        </w:tabs>
        <w:ind w:left="720" w:hanging="360"/>
      </w:pPr>
      <w:rPr>
        <w:rFonts w:ascii="Times New Roman" w:hAnsi="Times New Roman" w:hint="default"/>
      </w:rPr>
    </w:lvl>
    <w:lvl w:ilvl="1" w:tplc="B4EC3C38" w:tentative="1">
      <w:start w:val="1"/>
      <w:numFmt w:val="bullet"/>
      <w:lvlText w:val="•"/>
      <w:lvlJc w:val="left"/>
      <w:pPr>
        <w:tabs>
          <w:tab w:val="num" w:pos="1440"/>
        </w:tabs>
        <w:ind w:left="1440" w:hanging="360"/>
      </w:pPr>
      <w:rPr>
        <w:rFonts w:ascii="Times New Roman" w:hAnsi="Times New Roman" w:hint="default"/>
      </w:rPr>
    </w:lvl>
    <w:lvl w:ilvl="2" w:tplc="9A8ECA18" w:tentative="1">
      <w:start w:val="1"/>
      <w:numFmt w:val="bullet"/>
      <w:lvlText w:val="•"/>
      <w:lvlJc w:val="left"/>
      <w:pPr>
        <w:tabs>
          <w:tab w:val="num" w:pos="2160"/>
        </w:tabs>
        <w:ind w:left="2160" w:hanging="360"/>
      </w:pPr>
      <w:rPr>
        <w:rFonts w:ascii="Times New Roman" w:hAnsi="Times New Roman" w:hint="default"/>
      </w:rPr>
    </w:lvl>
    <w:lvl w:ilvl="3" w:tplc="B27CF020" w:tentative="1">
      <w:start w:val="1"/>
      <w:numFmt w:val="bullet"/>
      <w:lvlText w:val="•"/>
      <w:lvlJc w:val="left"/>
      <w:pPr>
        <w:tabs>
          <w:tab w:val="num" w:pos="2880"/>
        </w:tabs>
        <w:ind w:left="2880" w:hanging="360"/>
      </w:pPr>
      <w:rPr>
        <w:rFonts w:ascii="Times New Roman" w:hAnsi="Times New Roman" w:hint="default"/>
      </w:rPr>
    </w:lvl>
    <w:lvl w:ilvl="4" w:tplc="B8229F0C" w:tentative="1">
      <w:start w:val="1"/>
      <w:numFmt w:val="bullet"/>
      <w:lvlText w:val="•"/>
      <w:lvlJc w:val="left"/>
      <w:pPr>
        <w:tabs>
          <w:tab w:val="num" w:pos="3600"/>
        </w:tabs>
        <w:ind w:left="3600" w:hanging="360"/>
      </w:pPr>
      <w:rPr>
        <w:rFonts w:ascii="Times New Roman" w:hAnsi="Times New Roman" w:hint="default"/>
      </w:rPr>
    </w:lvl>
    <w:lvl w:ilvl="5" w:tplc="08BC54D0" w:tentative="1">
      <w:start w:val="1"/>
      <w:numFmt w:val="bullet"/>
      <w:lvlText w:val="•"/>
      <w:lvlJc w:val="left"/>
      <w:pPr>
        <w:tabs>
          <w:tab w:val="num" w:pos="4320"/>
        </w:tabs>
        <w:ind w:left="4320" w:hanging="360"/>
      </w:pPr>
      <w:rPr>
        <w:rFonts w:ascii="Times New Roman" w:hAnsi="Times New Roman" w:hint="default"/>
      </w:rPr>
    </w:lvl>
    <w:lvl w:ilvl="6" w:tplc="2F261E0A" w:tentative="1">
      <w:start w:val="1"/>
      <w:numFmt w:val="bullet"/>
      <w:lvlText w:val="•"/>
      <w:lvlJc w:val="left"/>
      <w:pPr>
        <w:tabs>
          <w:tab w:val="num" w:pos="5040"/>
        </w:tabs>
        <w:ind w:left="5040" w:hanging="360"/>
      </w:pPr>
      <w:rPr>
        <w:rFonts w:ascii="Times New Roman" w:hAnsi="Times New Roman" w:hint="default"/>
      </w:rPr>
    </w:lvl>
    <w:lvl w:ilvl="7" w:tplc="E7565996" w:tentative="1">
      <w:start w:val="1"/>
      <w:numFmt w:val="bullet"/>
      <w:lvlText w:val="•"/>
      <w:lvlJc w:val="left"/>
      <w:pPr>
        <w:tabs>
          <w:tab w:val="num" w:pos="5760"/>
        </w:tabs>
        <w:ind w:left="5760" w:hanging="360"/>
      </w:pPr>
      <w:rPr>
        <w:rFonts w:ascii="Times New Roman" w:hAnsi="Times New Roman" w:hint="default"/>
      </w:rPr>
    </w:lvl>
    <w:lvl w:ilvl="8" w:tplc="47D888D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C677D0"/>
    <w:multiLevelType w:val="hybridMultilevel"/>
    <w:tmpl w:val="9698DCA2"/>
    <w:lvl w:ilvl="0" w:tplc="B90A4CD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76DB0"/>
    <w:multiLevelType w:val="hybridMultilevel"/>
    <w:tmpl w:val="7D4E80A6"/>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FB2DE5"/>
    <w:multiLevelType w:val="multilevel"/>
    <w:tmpl w:val="C6FC542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ind w:left="1440" w:hanging="360"/>
      </w:pPr>
      <w:rPr>
        <w:rFonts w:hint="default"/>
      </w:rPr>
    </w:lvl>
    <w:lvl w:ilvl="2">
      <w:start w:val="2"/>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1A0CEB"/>
    <w:multiLevelType w:val="multilevel"/>
    <w:tmpl w:val="F4BEA25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2"/>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C41DC"/>
    <w:multiLevelType w:val="hybridMultilevel"/>
    <w:tmpl w:val="C74A1B34"/>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4A33C2"/>
    <w:multiLevelType w:val="hybridMultilevel"/>
    <w:tmpl w:val="C4FC8630"/>
    <w:lvl w:ilvl="0" w:tplc="8648F3E8">
      <w:start w:val="3"/>
      <w:numFmt w:val="bullet"/>
      <w:lvlText w:val="-"/>
      <w:lvlJc w:val="left"/>
      <w:pPr>
        <w:ind w:left="677" w:hanging="360"/>
      </w:pPr>
      <w:rPr>
        <w:rFonts w:ascii="Calibri" w:eastAsiaTheme="minorHAnsi" w:hAnsi="Calibri" w:cstheme="minorBidi" w:hint="default"/>
        <w:b/>
        <w:color w:val="auto"/>
        <w:sz w:val="22"/>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8">
    <w:nsid w:val="5FE76026"/>
    <w:multiLevelType w:val="hybridMultilevel"/>
    <w:tmpl w:val="8884C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733FC7"/>
    <w:multiLevelType w:val="multilevel"/>
    <w:tmpl w:val="F9468DE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5B38EE"/>
    <w:multiLevelType w:val="hybridMultilevel"/>
    <w:tmpl w:val="A4C0F30A"/>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5A6A61"/>
    <w:multiLevelType w:val="hybridMultilevel"/>
    <w:tmpl w:val="6B16C832"/>
    <w:lvl w:ilvl="0" w:tplc="3A82052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0858E2"/>
    <w:multiLevelType w:val="hybridMultilevel"/>
    <w:tmpl w:val="9D0AFA80"/>
    <w:lvl w:ilvl="0" w:tplc="C47EC47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9558B2"/>
    <w:multiLevelType w:val="multilevel"/>
    <w:tmpl w:val="DBF00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33E5DA4"/>
    <w:multiLevelType w:val="hybridMultilevel"/>
    <w:tmpl w:val="734A6D6C"/>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172083"/>
    <w:multiLevelType w:val="hybridMultilevel"/>
    <w:tmpl w:val="E954D19A"/>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C11DB9"/>
    <w:multiLevelType w:val="hybridMultilevel"/>
    <w:tmpl w:val="CDE442B4"/>
    <w:lvl w:ilvl="0" w:tplc="D8DAD6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E1641D"/>
    <w:multiLevelType w:val="hybridMultilevel"/>
    <w:tmpl w:val="F6FA5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E876D0"/>
    <w:multiLevelType w:val="hybridMultilevel"/>
    <w:tmpl w:val="0AEC7804"/>
    <w:lvl w:ilvl="0" w:tplc="8A72B4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A411BA"/>
    <w:multiLevelType w:val="hybridMultilevel"/>
    <w:tmpl w:val="8676C528"/>
    <w:lvl w:ilvl="0" w:tplc="D8DAD60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EE1870"/>
    <w:multiLevelType w:val="hybridMultilevel"/>
    <w:tmpl w:val="4BDE1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5"/>
  </w:num>
  <w:num w:numId="4">
    <w:abstractNumId w:val="14"/>
  </w:num>
  <w:num w:numId="5">
    <w:abstractNumId w:val="16"/>
  </w:num>
  <w:num w:numId="6">
    <w:abstractNumId w:val="20"/>
  </w:num>
  <w:num w:numId="7">
    <w:abstractNumId w:val="11"/>
  </w:num>
  <w:num w:numId="8">
    <w:abstractNumId w:val="21"/>
  </w:num>
  <w:num w:numId="9">
    <w:abstractNumId w:val="24"/>
  </w:num>
  <w:num w:numId="10">
    <w:abstractNumId w:val="4"/>
  </w:num>
  <w:num w:numId="11">
    <w:abstractNumId w:val="6"/>
  </w:num>
  <w:num w:numId="12">
    <w:abstractNumId w:val="7"/>
  </w:num>
  <w:num w:numId="13">
    <w:abstractNumId w:val="3"/>
  </w:num>
  <w:num w:numId="14">
    <w:abstractNumId w:val="0"/>
  </w:num>
  <w:num w:numId="15">
    <w:abstractNumId w:val="13"/>
  </w:num>
  <w:num w:numId="16">
    <w:abstractNumId w:val="27"/>
  </w:num>
  <w:num w:numId="17">
    <w:abstractNumId w:val="10"/>
  </w:num>
  <w:num w:numId="18">
    <w:abstractNumId w:val="25"/>
  </w:num>
  <w:num w:numId="19">
    <w:abstractNumId w:val="12"/>
  </w:num>
  <w:num w:numId="20">
    <w:abstractNumId w:val="17"/>
  </w:num>
  <w:num w:numId="21">
    <w:abstractNumId w:val="19"/>
  </w:num>
  <w:num w:numId="22">
    <w:abstractNumId w:val="22"/>
  </w:num>
  <w:num w:numId="23">
    <w:abstractNumId w:val="28"/>
  </w:num>
  <w:num w:numId="24">
    <w:abstractNumId w:val="18"/>
  </w:num>
  <w:num w:numId="25">
    <w:abstractNumId w:val="2"/>
  </w:num>
  <w:num w:numId="26">
    <w:abstractNumId w:val="8"/>
  </w:num>
  <w:num w:numId="27">
    <w:abstractNumId w:val="9"/>
  </w:num>
  <w:num w:numId="28">
    <w:abstractNumId w:val="5"/>
  </w:num>
  <w:num w:numId="29">
    <w:abstractNumId w:val="29"/>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A8"/>
    <w:rsid w:val="00005286"/>
    <w:rsid w:val="0001169B"/>
    <w:rsid w:val="0002338F"/>
    <w:rsid w:val="0002576F"/>
    <w:rsid w:val="00036E41"/>
    <w:rsid w:val="0004580A"/>
    <w:rsid w:val="000479E5"/>
    <w:rsid w:val="0005408A"/>
    <w:rsid w:val="00071938"/>
    <w:rsid w:val="00090BE7"/>
    <w:rsid w:val="000935EF"/>
    <w:rsid w:val="000A02F8"/>
    <w:rsid w:val="000A1B73"/>
    <w:rsid w:val="000A67B3"/>
    <w:rsid w:val="000B7157"/>
    <w:rsid w:val="000C64F4"/>
    <w:rsid w:val="000D607A"/>
    <w:rsid w:val="000E45A8"/>
    <w:rsid w:val="000F7077"/>
    <w:rsid w:val="00100E81"/>
    <w:rsid w:val="001042D2"/>
    <w:rsid w:val="001109BC"/>
    <w:rsid w:val="00110BE0"/>
    <w:rsid w:val="00113EA3"/>
    <w:rsid w:val="001158AC"/>
    <w:rsid w:val="001342B8"/>
    <w:rsid w:val="0013518D"/>
    <w:rsid w:val="0013582C"/>
    <w:rsid w:val="00140DED"/>
    <w:rsid w:val="0014198A"/>
    <w:rsid w:val="00153E27"/>
    <w:rsid w:val="00175F90"/>
    <w:rsid w:val="00176AAD"/>
    <w:rsid w:val="00182F69"/>
    <w:rsid w:val="00183798"/>
    <w:rsid w:val="0018463E"/>
    <w:rsid w:val="00186DB5"/>
    <w:rsid w:val="00186E74"/>
    <w:rsid w:val="001C1C94"/>
    <w:rsid w:val="001D1C5A"/>
    <w:rsid w:val="001D2884"/>
    <w:rsid w:val="001E3107"/>
    <w:rsid w:val="001E41EA"/>
    <w:rsid w:val="001E64CF"/>
    <w:rsid w:val="00202C6D"/>
    <w:rsid w:val="002053DC"/>
    <w:rsid w:val="00213030"/>
    <w:rsid w:val="002178BC"/>
    <w:rsid w:val="002215CD"/>
    <w:rsid w:val="00221BE3"/>
    <w:rsid w:val="0023078B"/>
    <w:rsid w:val="00241B6E"/>
    <w:rsid w:val="002546AC"/>
    <w:rsid w:val="0026189E"/>
    <w:rsid w:val="0027032C"/>
    <w:rsid w:val="002955CE"/>
    <w:rsid w:val="002A4960"/>
    <w:rsid w:val="002A69EC"/>
    <w:rsid w:val="002B14FB"/>
    <w:rsid w:val="002D2C6A"/>
    <w:rsid w:val="002D7CBC"/>
    <w:rsid w:val="002E1033"/>
    <w:rsid w:val="002E4821"/>
    <w:rsid w:val="002E4F37"/>
    <w:rsid w:val="00310AE7"/>
    <w:rsid w:val="0031477C"/>
    <w:rsid w:val="003157D6"/>
    <w:rsid w:val="003168A3"/>
    <w:rsid w:val="00321AAD"/>
    <w:rsid w:val="00323CA6"/>
    <w:rsid w:val="00333A21"/>
    <w:rsid w:val="00340D45"/>
    <w:rsid w:val="00347461"/>
    <w:rsid w:val="003534D8"/>
    <w:rsid w:val="00355DD1"/>
    <w:rsid w:val="00362093"/>
    <w:rsid w:val="003827CE"/>
    <w:rsid w:val="0038752C"/>
    <w:rsid w:val="003914FE"/>
    <w:rsid w:val="003A21C4"/>
    <w:rsid w:val="003A5291"/>
    <w:rsid w:val="003A6163"/>
    <w:rsid w:val="003B0C2E"/>
    <w:rsid w:val="003D5989"/>
    <w:rsid w:val="003D6CB5"/>
    <w:rsid w:val="003E2A72"/>
    <w:rsid w:val="003E5462"/>
    <w:rsid w:val="003E705F"/>
    <w:rsid w:val="003F36EE"/>
    <w:rsid w:val="003F5887"/>
    <w:rsid w:val="00401EB9"/>
    <w:rsid w:val="00417A41"/>
    <w:rsid w:val="00421D6A"/>
    <w:rsid w:val="00423623"/>
    <w:rsid w:val="00427818"/>
    <w:rsid w:val="004311BF"/>
    <w:rsid w:val="004363B8"/>
    <w:rsid w:val="00441B0D"/>
    <w:rsid w:val="0044402C"/>
    <w:rsid w:val="00452D28"/>
    <w:rsid w:val="004611C7"/>
    <w:rsid w:val="00465127"/>
    <w:rsid w:val="00467371"/>
    <w:rsid w:val="00467629"/>
    <w:rsid w:val="004735E6"/>
    <w:rsid w:val="004754B3"/>
    <w:rsid w:val="004866E5"/>
    <w:rsid w:val="00491E26"/>
    <w:rsid w:val="004960A8"/>
    <w:rsid w:val="004A1E3F"/>
    <w:rsid w:val="004A4C74"/>
    <w:rsid w:val="004D3C15"/>
    <w:rsid w:val="004E6B72"/>
    <w:rsid w:val="00502FAD"/>
    <w:rsid w:val="00513E84"/>
    <w:rsid w:val="005225FA"/>
    <w:rsid w:val="00523AEE"/>
    <w:rsid w:val="00523D4A"/>
    <w:rsid w:val="00540880"/>
    <w:rsid w:val="00546B97"/>
    <w:rsid w:val="00547B7D"/>
    <w:rsid w:val="005603E9"/>
    <w:rsid w:val="0056120D"/>
    <w:rsid w:val="00563E50"/>
    <w:rsid w:val="00571823"/>
    <w:rsid w:val="00582350"/>
    <w:rsid w:val="00585CC2"/>
    <w:rsid w:val="005A1470"/>
    <w:rsid w:val="005B2339"/>
    <w:rsid w:val="005C3CDA"/>
    <w:rsid w:val="005D4BEB"/>
    <w:rsid w:val="0060372B"/>
    <w:rsid w:val="00610BEE"/>
    <w:rsid w:val="00623F7E"/>
    <w:rsid w:val="00624865"/>
    <w:rsid w:val="00632A79"/>
    <w:rsid w:val="00651C7E"/>
    <w:rsid w:val="006542B8"/>
    <w:rsid w:val="00654A4C"/>
    <w:rsid w:val="00680181"/>
    <w:rsid w:val="00693446"/>
    <w:rsid w:val="006935D9"/>
    <w:rsid w:val="006A3A49"/>
    <w:rsid w:val="006A42BC"/>
    <w:rsid w:val="006A460A"/>
    <w:rsid w:val="006A5A41"/>
    <w:rsid w:val="006B1CA7"/>
    <w:rsid w:val="006B3E2E"/>
    <w:rsid w:val="006B4408"/>
    <w:rsid w:val="006C1C99"/>
    <w:rsid w:val="006C1FE9"/>
    <w:rsid w:val="006D4BAC"/>
    <w:rsid w:val="006D67EE"/>
    <w:rsid w:val="006D6CE4"/>
    <w:rsid w:val="00700369"/>
    <w:rsid w:val="0070099B"/>
    <w:rsid w:val="00704574"/>
    <w:rsid w:val="00707F75"/>
    <w:rsid w:val="00717EBD"/>
    <w:rsid w:val="00721430"/>
    <w:rsid w:val="00724006"/>
    <w:rsid w:val="0072469E"/>
    <w:rsid w:val="0072798E"/>
    <w:rsid w:val="00731B57"/>
    <w:rsid w:val="00741436"/>
    <w:rsid w:val="007502AA"/>
    <w:rsid w:val="007539ED"/>
    <w:rsid w:val="00763B09"/>
    <w:rsid w:val="0076454D"/>
    <w:rsid w:val="00764D08"/>
    <w:rsid w:val="007735CD"/>
    <w:rsid w:val="00773E4D"/>
    <w:rsid w:val="00774EB6"/>
    <w:rsid w:val="00777164"/>
    <w:rsid w:val="00781F63"/>
    <w:rsid w:val="007908B2"/>
    <w:rsid w:val="00790CBA"/>
    <w:rsid w:val="00791C0C"/>
    <w:rsid w:val="00792EE7"/>
    <w:rsid w:val="00796E5A"/>
    <w:rsid w:val="007C0CDD"/>
    <w:rsid w:val="007C204C"/>
    <w:rsid w:val="007C54C3"/>
    <w:rsid w:val="007C5FCF"/>
    <w:rsid w:val="007D477B"/>
    <w:rsid w:val="007E4331"/>
    <w:rsid w:val="007E5933"/>
    <w:rsid w:val="007F5A9A"/>
    <w:rsid w:val="00803F88"/>
    <w:rsid w:val="0081525A"/>
    <w:rsid w:val="008209EE"/>
    <w:rsid w:val="0082302C"/>
    <w:rsid w:val="008246A3"/>
    <w:rsid w:val="00825022"/>
    <w:rsid w:val="00852473"/>
    <w:rsid w:val="008570E6"/>
    <w:rsid w:val="00865AB8"/>
    <w:rsid w:val="00875EED"/>
    <w:rsid w:val="00880DC2"/>
    <w:rsid w:val="00881BE5"/>
    <w:rsid w:val="00882CA9"/>
    <w:rsid w:val="008A1878"/>
    <w:rsid w:val="008B64BB"/>
    <w:rsid w:val="008C0224"/>
    <w:rsid w:val="008C5069"/>
    <w:rsid w:val="008D6ED4"/>
    <w:rsid w:val="008D740E"/>
    <w:rsid w:val="008F06EA"/>
    <w:rsid w:val="008F5DEE"/>
    <w:rsid w:val="00901F70"/>
    <w:rsid w:val="009034CF"/>
    <w:rsid w:val="00905225"/>
    <w:rsid w:val="009165BA"/>
    <w:rsid w:val="00922F8C"/>
    <w:rsid w:val="00923198"/>
    <w:rsid w:val="00934C03"/>
    <w:rsid w:val="00937253"/>
    <w:rsid w:val="0094256D"/>
    <w:rsid w:val="00946DE9"/>
    <w:rsid w:val="00952106"/>
    <w:rsid w:val="00952558"/>
    <w:rsid w:val="0095286D"/>
    <w:rsid w:val="00975FD0"/>
    <w:rsid w:val="0098333F"/>
    <w:rsid w:val="00987EF4"/>
    <w:rsid w:val="009908A7"/>
    <w:rsid w:val="00993F9B"/>
    <w:rsid w:val="00996E77"/>
    <w:rsid w:val="009A056D"/>
    <w:rsid w:val="009A5400"/>
    <w:rsid w:val="009A7882"/>
    <w:rsid w:val="009B214D"/>
    <w:rsid w:val="009B4794"/>
    <w:rsid w:val="009B49C4"/>
    <w:rsid w:val="009B75D0"/>
    <w:rsid w:val="009C176D"/>
    <w:rsid w:val="009D67B3"/>
    <w:rsid w:val="009D7433"/>
    <w:rsid w:val="009D7A98"/>
    <w:rsid w:val="009E373C"/>
    <w:rsid w:val="009E5A21"/>
    <w:rsid w:val="00A03DD8"/>
    <w:rsid w:val="00A059A7"/>
    <w:rsid w:val="00A134FD"/>
    <w:rsid w:val="00A17684"/>
    <w:rsid w:val="00A17BF2"/>
    <w:rsid w:val="00A2374E"/>
    <w:rsid w:val="00A24B45"/>
    <w:rsid w:val="00A258D5"/>
    <w:rsid w:val="00A35C41"/>
    <w:rsid w:val="00A37028"/>
    <w:rsid w:val="00A37EF9"/>
    <w:rsid w:val="00A517F0"/>
    <w:rsid w:val="00A56E84"/>
    <w:rsid w:val="00A6493B"/>
    <w:rsid w:val="00A7315B"/>
    <w:rsid w:val="00A800C2"/>
    <w:rsid w:val="00A9696C"/>
    <w:rsid w:val="00A96DCD"/>
    <w:rsid w:val="00AA1014"/>
    <w:rsid w:val="00AA17B9"/>
    <w:rsid w:val="00AA37B3"/>
    <w:rsid w:val="00AA3B33"/>
    <w:rsid w:val="00AD031A"/>
    <w:rsid w:val="00AD6487"/>
    <w:rsid w:val="00AD6696"/>
    <w:rsid w:val="00AE0B01"/>
    <w:rsid w:val="00AE7D07"/>
    <w:rsid w:val="00AF1BEE"/>
    <w:rsid w:val="00AF67BB"/>
    <w:rsid w:val="00AF7F16"/>
    <w:rsid w:val="00B01398"/>
    <w:rsid w:val="00B222FF"/>
    <w:rsid w:val="00B30092"/>
    <w:rsid w:val="00B33993"/>
    <w:rsid w:val="00B43C47"/>
    <w:rsid w:val="00B5043B"/>
    <w:rsid w:val="00B51A3C"/>
    <w:rsid w:val="00B52C2C"/>
    <w:rsid w:val="00B53BEC"/>
    <w:rsid w:val="00B55477"/>
    <w:rsid w:val="00B60F2B"/>
    <w:rsid w:val="00B834A4"/>
    <w:rsid w:val="00B951CA"/>
    <w:rsid w:val="00B9697E"/>
    <w:rsid w:val="00B97F02"/>
    <w:rsid w:val="00BB6057"/>
    <w:rsid w:val="00BD1F43"/>
    <w:rsid w:val="00BD42A7"/>
    <w:rsid w:val="00BD43B5"/>
    <w:rsid w:val="00BD5C64"/>
    <w:rsid w:val="00BD6B9A"/>
    <w:rsid w:val="00BD7767"/>
    <w:rsid w:val="00BD7FBC"/>
    <w:rsid w:val="00BE00BA"/>
    <w:rsid w:val="00BE6F86"/>
    <w:rsid w:val="00BF0046"/>
    <w:rsid w:val="00BF2867"/>
    <w:rsid w:val="00BF327E"/>
    <w:rsid w:val="00C107E9"/>
    <w:rsid w:val="00C149FF"/>
    <w:rsid w:val="00C17123"/>
    <w:rsid w:val="00C22274"/>
    <w:rsid w:val="00C242C3"/>
    <w:rsid w:val="00C3514A"/>
    <w:rsid w:val="00C379B9"/>
    <w:rsid w:val="00C4411B"/>
    <w:rsid w:val="00C44598"/>
    <w:rsid w:val="00C466F2"/>
    <w:rsid w:val="00C50412"/>
    <w:rsid w:val="00C56129"/>
    <w:rsid w:val="00C65BE5"/>
    <w:rsid w:val="00C6622F"/>
    <w:rsid w:val="00C72400"/>
    <w:rsid w:val="00C737FA"/>
    <w:rsid w:val="00C84E40"/>
    <w:rsid w:val="00C9030B"/>
    <w:rsid w:val="00CA2A7C"/>
    <w:rsid w:val="00CA567F"/>
    <w:rsid w:val="00CB2F09"/>
    <w:rsid w:val="00CB3DFD"/>
    <w:rsid w:val="00CC2961"/>
    <w:rsid w:val="00CC6439"/>
    <w:rsid w:val="00CD79EE"/>
    <w:rsid w:val="00CD7EC1"/>
    <w:rsid w:val="00CE1AE8"/>
    <w:rsid w:val="00CE2666"/>
    <w:rsid w:val="00D02113"/>
    <w:rsid w:val="00D0418E"/>
    <w:rsid w:val="00D05107"/>
    <w:rsid w:val="00D115C8"/>
    <w:rsid w:val="00D12950"/>
    <w:rsid w:val="00D14BF3"/>
    <w:rsid w:val="00D22AD5"/>
    <w:rsid w:val="00D25F03"/>
    <w:rsid w:val="00D33062"/>
    <w:rsid w:val="00D453DC"/>
    <w:rsid w:val="00D478FB"/>
    <w:rsid w:val="00D53A53"/>
    <w:rsid w:val="00D53D97"/>
    <w:rsid w:val="00D56253"/>
    <w:rsid w:val="00D61F7B"/>
    <w:rsid w:val="00D64F54"/>
    <w:rsid w:val="00D654A8"/>
    <w:rsid w:val="00D72C5A"/>
    <w:rsid w:val="00D760B6"/>
    <w:rsid w:val="00D77F2C"/>
    <w:rsid w:val="00D823D9"/>
    <w:rsid w:val="00D86F52"/>
    <w:rsid w:val="00D8735B"/>
    <w:rsid w:val="00D9042C"/>
    <w:rsid w:val="00D971AE"/>
    <w:rsid w:val="00D979DA"/>
    <w:rsid w:val="00DA5CB7"/>
    <w:rsid w:val="00DB0FFF"/>
    <w:rsid w:val="00DD0D63"/>
    <w:rsid w:val="00DD355B"/>
    <w:rsid w:val="00DF48A9"/>
    <w:rsid w:val="00E1078B"/>
    <w:rsid w:val="00E12AA3"/>
    <w:rsid w:val="00E134BC"/>
    <w:rsid w:val="00E14C54"/>
    <w:rsid w:val="00E169C6"/>
    <w:rsid w:val="00E16E5F"/>
    <w:rsid w:val="00E304E8"/>
    <w:rsid w:val="00E3288F"/>
    <w:rsid w:val="00E33647"/>
    <w:rsid w:val="00E42D33"/>
    <w:rsid w:val="00E44E84"/>
    <w:rsid w:val="00E47D6D"/>
    <w:rsid w:val="00E57519"/>
    <w:rsid w:val="00E71C9C"/>
    <w:rsid w:val="00E71D07"/>
    <w:rsid w:val="00E81DEB"/>
    <w:rsid w:val="00E84A30"/>
    <w:rsid w:val="00E9100A"/>
    <w:rsid w:val="00E91F6B"/>
    <w:rsid w:val="00EA4256"/>
    <w:rsid w:val="00EA48A7"/>
    <w:rsid w:val="00EB2536"/>
    <w:rsid w:val="00EB2930"/>
    <w:rsid w:val="00EB3DB0"/>
    <w:rsid w:val="00EB6E79"/>
    <w:rsid w:val="00EC0049"/>
    <w:rsid w:val="00EC29A2"/>
    <w:rsid w:val="00EC5D41"/>
    <w:rsid w:val="00ED310D"/>
    <w:rsid w:val="00ED47A2"/>
    <w:rsid w:val="00EE4074"/>
    <w:rsid w:val="00EE4850"/>
    <w:rsid w:val="00EE6F20"/>
    <w:rsid w:val="00EE7498"/>
    <w:rsid w:val="00EF4F7F"/>
    <w:rsid w:val="00EF6ACB"/>
    <w:rsid w:val="00F03709"/>
    <w:rsid w:val="00F05033"/>
    <w:rsid w:val="00F05C15"/>
    <w:rsid w:val="00F12377"/>
    <w:rsid w:val="00F16A04"/>
    <w:rsid w:val="00F34336"/>
    <w:rsid w:val="00F35EE9"/>
    <w:rsid w:val="00F36250"/>
    <w:rsid w:val="00F42E1A"/>
    <w:rsid w:val="00F54488"/>
    <w:rsid w:val="00F55AE4"/>
    <w:rsid w:val="00F5687F"/>
    <w:rsid w:val="00F62774"/>
    <w:rsid w:val="00F62A47"/>
    <w:rsid w:val="00F95131"/>
    <w:rsid w:val="00FA32B8"/>
    <w:rsid w:val="00FB224C"/>
    <w:rsid w:val="00FB6D92"/>
    <w:rsid w:val="00FB71A9"/>
    <w:rsid w:val="00FC4CBE"/>
    <w:rsid w:val="00FD0CB1"/>
    <w:rsid w:val="00FD110B"/>
    <w:rsid w:val="00FD543D"/>
    <w:rsid w:val="00FE4C86"/>
    <w:rsid w:val="00FF72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A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29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69C6"/>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paragraph" w:styleId="Heading4">
    <w:name w:val="heading 4"/>
    <w:basedOn w:val="Normal"/>
    <w:next w:val="Normal"/>
    <w:link w:val="Heading4Char"/>
    <w:uiPriority w:val="9"/>
    <w:unhideWhenUsed/>
    <w:qFormat/>
    <w:rsid w:val="00ED47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0A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960A8"/>
    <w:pPr>
      <w:ind w:left="720"/>
      <w:contextualSpacing/>
    </w:pPr>
  </w:style>
  <w:style w:type="paragraph" w:styleId="FootnoteText">
    <w:name w:val="footnote text"/>
    <w:basedOn w:val="Normal"/>
    <w:link w:val="FootnoteTextChar"/>
    <w:uiPriority w:val="99"/>
    <w:unhideWhenUsed/>
    <w:rsid w:val="001C1C94"/>
    <w:pPr>
      <w:spacing w:after="0" w:line="240" w:lineRule="auto"/>
    </w:pPr>
    <w:rPr>
      <w:sz w:val="20"/>
      <w:szCs w:val="20"/>
    </w:rPr>
  </w:style>
  <w:style w:type="character" w:customStyle="1" w:styleId="FootnoteTextChar">
    <w:name w:val="Footnote Text Char"/>
    <w:basedOn w:val="DefaultParagraphFont"/>
    <w:link w:val="FootnoteText"/>
    <w:uiPriority w:val="99"/>
    <w:rsid w:val="001C1C94"/>
    <w:rPr>
      <w:sz w:val="20"/>
      <w:szCs w:val="20"/>
    </w:rPr>
  </w:style>
  <w:style w:type="character" w:styleId="FootnoteReference">
    <w:name w:val="footnote reference"/>
    <w:basedOn w:val="DefaultParagraphFont"/>
    <w:uiPriority w:val="99"/>
    <w:semiHidden/>
    <w:unhideWhenUsed/>
    <w:rsid w:val="001C1C94"/>
    <w:rPr>
      <w:vertAlign w:val="superscript"/>
    </w:rPr>
  </w:style>
  <w:style w:type="table" w:styleId="TableGrid">
    <w:name w:val="Table Grid"/>
    <w:basedOn w:val="TableNormal"/>
    <w:uiPriority w:val="59"/>
    <w:rsid w:val="001C1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C94"/>
    <w:rPr>
      <w:sz w:val="16"/>
      <w:szCs w:val="16"/>
    </w:rPr>
  </w:style>
  <w:style w:type="paragraph" w:styleId="CommentText">
    <w:name w:val="annotation text"/>
    <w:basedOn w:val="Normal"/>
    <w:link w:val="CommentTextChar"/>
    <w:uiPriority w:val="99"/>
    <w:semiHidden/>
    <w:unhideWhenUsed/>
    <w:rsid w:val="001C1C94"/>
    <w:pPr>
      <w:spacing w:line="240" w:lineRule="auto"/>
    </w:pPr>
    <w:rPr>
      <w:sz w:val="20"/>
      <w:szCs w:val="20"/>
    </w:rPr>
  </w:style>
  <w:style w:type="character" w:customStyle="1" w:styleId="CommentTextChar">
    <w:name w:val="Comment Text Char"/>
    <w:basedOn w:val="DefaultParagraphFont"/>
    <w:link w:val="CommentText"/>
    <w:uiPriority w:val="99"/>
    <w:semiHidden/>
    <w:rsid w:val="001C1C94"/>
    <w:rPr>
      <w:sz w:val="20"/>
      <w:szCs w:val="20"/>
    </w:rPr>
  </w:style>
  <w:style w:type="paragraph" w:styleId="BalloonText">
    <w:name w:val="Balloon Text"/>
    <w:basedOn w:val="Normal"/>
    <w:link w:val="BalloonTextChar"/>
    <w:uiPriority w:val="99"/>
    <w:semiHidden/>
    <w:unhideWhenUsed/>
    <w:rsid w:val="001C1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4074"/>
    <w:rPr>
      <w:b/>
      <w:bCs/>
    </w:rPr>
  </w:style>
  <w:style w:type="character" w:customStyle="1" w:styleId="CommentSubjectChar">
    <w:name w:val="Comment Subject Char"/>
    <w:basedOn w:val="CommentTextChar"/>
    <w:link w:val="CommentSubject"/>
    <w:uiPriority w:val="99"/>
    <w:semiHidden/>
    <w:rsid w:val="00EE4074"/>
    <w:rPr>
      <w:b/>
      <w:bCs/>
      <w:sz w:val="20"/>
      <w:szCs w:val="20"/>
    </w:rPr>
  </w:style>
  <w:style w:type="table" w:customStyle="1" w:styleId="TableGrid1">
    <w:name w:val="Table Grid1"/>
    <w:basedOn w:val="TableNormal"/>
    <w:next w:val="TableGrid"/>
    <w:uiPriority w:val="59"/>
    <w:rsid w:val="00C65BE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35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F88"/>
  </w:style>
  <w:style w:type="paragraph" w:styleId="Footer">
    <w:name w:val="footer"/>
    <w:basedOn w:val="Normal"/>
    <w:link w:val="FooterChar"/>
    <w:uiPriority w:val="99"/>
    <w:unhideWhenUsed/>
    <w:rsid w:val="00803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F88"/>
  </w:style>
  <w:style w:type="paragraph" w:styleId="NormalWeb">
    <w:name w:val="Normal (Web)"/>
    <w:basedOn w:val="Normal"/>
    <w:uiPriority w:val="99"/>
    <w:unhideWhenUsed/>
    <w:rsid w:val="001E6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Default"/>
    <w:next w:val="Default"/>
    <w:uiPriority w:val="99"/>
    <w:rsid w:val="007D477B"/>
    <w:pPr>
      <w:spacing w:line="241" w:lineRule="atLeast"/>
    </w:pPr>
    <w:rPr>
      <w:rFonts w:ascii="Graphik Regular" w:hAnsi="Graphik Regular" w:cstheme="minorBidi"/>
      <w:color w:val="auto"/>
    </w:rPr>
  </w:style>
  <w:style w:type="character" w:customStyle="1" w:styleId="A5">
    <w:name w:val="A5"/>
    <w:uiPriority w:val="99"/>
    <w:rsid w:val="007D477B"/>
    <w:rPr>
      <w:rFonts w:cs="Graphik Regular"/>
      <w:color w:val="000000"/>
      <w:sz w:val="20"/>
      <w:szCs w:val="20"/>
    </w:rPr>
  </w:style>
  <w:style w:type="paragraph" w:styleId="PlainText">
    <w:name w:val="Plain Text"/>
    <w:basedOn w:val="Normal"/>
    <w:link w:val="PlainTextChar"/>
    <w:uiPriority w:val="99"/>
    <w:unhideWhenUsed/>
    <w:rsid w:val="00D562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6253"/>
    <w:rPr>
      <w:rFonts w:ascii="Calibri" w:hAnsi="Calibri"/>
      <w:szCs w:val="21"/>
    </w:rPr>
  </w:style>
  <w:style w:type="paragraph" w:styleId="Revision">
    <w:name w:val="Revision"/>
    <w:hidden/>
    <w:uiPriority w:val="99"/>
    <w:semiHidden/>
    <w:rsid w:val="0002338F"/>
    <w:pPr>
      <w:spacing w:after="0" w:line="240" w:lineRule="auto"/>
    </w:pPr>
  </w:style>
  <w:style w:type="table" w:customStyle="1" w:styleId="TableGrid3">
    <w:name w:val="Table Grid3"/>
    <w:basedOn w:val="TableNormal"/>
    <w:next w:val="TableGrid"/>
    <w:uiPriority w:val="59"/>
    <w:rsid w:val="00BD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AAD"/>
    <w:rPr>
      <w:color w:val="0000FF" w:themeColor="hyperlink"/>
      <w:u w:val="single"/>
    </w:rPr>
  </w:style>
  <w:style w:type="character" w:styleId="FollowedHyperlink">
    <w:name w:val="FollowedHyperlink"/>
    <w:basedOn w:val="DefaultParagraphFont"/>
    <w:uiPriority w:val="99"/>
    <w:semiHidden/>
    <w:unhideWhenUsed/>
    <w:rsid w:val="00BD6B9A"/>
    <w:rPr>
      <w:color w:val="800080" w:themeColor="followedHyperlink"/>
      <w:u w:val="single"/>
    </w:rPr>
  </w:style>
  <w:style w:type="character" w:customStyle="1" w:styleId="Heading3Char">
    <w:name w:val="Heading 3 Char"/>
    <w:basedOn w:val="DefaultParagraphFont"/>
    <w:link w:val="Heading3"/>
    <w:uiPriority w:val="9"/>
    <w:rsid w:val="00E169C6"/>
    <w:rPr>
      <w:rFonts w:ascii="Times New Roman" w:eastAsia="Times New Roman" w:hAnsi="Times New Roman" w:cs="Times New Roman"/>
      <w:b/>
      <w:bCs/>
      <w:sz w:val="27"/>
      <w:szCs w:val="27"/>
      <w:lang w:val="en-IE" w:eastAsia="en-IE"/>
    </w:rPr>
  </w:style>
  <w:style w:type="character" w:customStyle="1" w:styleId="Heading1Char">
    <w:name w:val="Heading 1 Char"/>
    <w:basedOn w:val="DefaultParagraphFont"/>
    <w:link w:val="Heading1"/>
    <w:uiPriority w:val="9"/>
    <w:rsid w:val="00EC29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29A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D47A2"/>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632A79"/>
    <w:pPr>
      <w:outlineLvl w:val="9"/>
    </w:pPr>
    <w:rPr>
      <w:lang w:val="en-US" w:eastAsia="ja-JP"/>
    </w:rPr>
  </w:style>
  <w:style w:type="paragraph" w:styleId="TOC1">
    <w:name w:val="toc 1"/>
    <w:basedOn w:val="Normal"/>
    <w:next w:val="Normal"/>
    <w:autoRedefine/>
    <w:uiPriority w:val="39"/>
    <w:unhideWhenUsed/>
    <w:rsid w:val="00632A79"/>
    <w:pPr>
      <w:spacing w:after="100"/>
    </w:pPr>
  </w:style>
  <w:style w:type="paragraph" w:styleId="TOC2">
    <w:name w:val="toc 2"/>
    <w:basedOn w:val="Normal"/>
    <w:next w:val="Normal"/>
    <w:autoRedefine/>
    <w:uiPriority w:val="39"/>
    <w:unhideWhenUsed/>
    <w:rsid w:val="00632A79"/>
    <w:pPr>
      <w:spacing w:after="100"/>
      <w:ind w:left="220"/>
    </w:pPr>
  </w:style>
  <w:style w:type="paragraph" w:styleId="TOC3">
    <w:name w:val="toc 3"/>
    <w:basedOn w:val="Normal"/>
    <w:next w:val="Normal"/>
    <w:autoRedefine/>
    <w:uiPriority w:val="39"/>
    <w:unhideWhenUsed/>
    <w:rsid w:val="00632A7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2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29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69C6"/>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paragraph" w:styleId="Heading4">
    <w:name w:val="heading 4"/>
    <w:basedOn w:val="Normal"/>
    <w:next w:val="Normal"/>
    <w:link w:val="Heading4Char"/>
    <w:uiPriority w:val="9"/>
    <w:unhideWhenUsed/>
    <w:qFormat/>
    <w:rsid w:val="00ED47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0A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960A8"/>
    <w:pPr>
      <w:ind w:left="720"/>
      <w:contextualSpacing/>
    </w:pPr>
  </w:style>
  <w:style w:type="paragraph" w:styleId="FootnoteText">
    <w:name w:val="footnote text"/>
    <w:basedOn w:val="Normal"/>
    <w:link w:val="FootnoteTextChar"/>
    <w:uiPriority w:val="99"/>
    <w:unhideWhenUsed/>
    <w:rsid w:val="001C1C94"/>
    <w:pPr>
      <w:spacing w:after="0" w:line="240" w:lineRule="auto"/>
    </w:pPr>
    <w:rPr>
      <w:sz w:val="20"/>
      <w:szCs w:val="20"/>
    </w:rPr>
  </w:style>
  <w:style w:type="character" w:customStyle="1" w:styleId="FootnoteTextChar">
    <w:name w:val="Footnote Text Char"/>
    <w:basedOn w:val="DefaultParagraphFont"/>
    <w:link w:val="FootnoteText"/>
    <w:uiPriority w:val="99"/>
    <w:rsid w:val="001C1C94"/>
    <w:rPr>
      <w:sz w:val="20"/>
      <w:szCs w:val="20"/>
    </w:rPr>
  </w:style>
  <w:style w:type="character" w:styleId="FootnoteReference">
    <w:name w:val="footnote reference"/>
    <w:basedOn w:val="DefaultParagraphFont"/>
    <w:uiPriority w:val="99"/>
    <w:semiHidden/>
    <w:unhideWhenUsed/>
    <w:rsid w:val="001C1C94"/>
    <w:rPr>
      <w:vertAlign w:val="superscript"/>
    </w:rPr>
  </w:style>
  <w:style w:type="table" w:styleId="TableGrid">
    <w:name w:val="Table Grid"/>
    <w:basedOn w:val="TableNormal"/>
    <w:uiPriority w:val="59"/>
    <w:rsid w:val="001C1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C94"/>
    <w:rPr>
      <w:sz w:val="16"/>
      <w:szCs w:val="16"/>
    </w:rPr>
  </w:style>
  <w:style w:type="paragraph" w:styleId="CommentText">
    <w:name w:val="annotation text"/>
    <w:basedOn w:val="Normal"/>
    <w:link w:val="CommentTextChar"/>
    <w:uiPriority w:val="99"/>
    <w:semiHidden/>
    <w:unhideWhenUsed/>
    <w:rsid w:val="001C1C94"/>
    <w:pPr>
      <w:spacing w:line="240" w:lineRule="auto"/>
    </w:pPr>
    <w:rPr>
      <w:sz w:val="20"/>
      <w:szCs w:val="20"/>
    </w:rPr>
  </w:style>
  <w:style w:type="character" w:customStyle="1" w:styleId="CommentTextChar">
    <w:name w:val="Comment Text Char"/>
    <w:basedOn w:val="DefaultParagraphFont"/>
    <w:link w:val="CommentText"/>
    <w:uiPriority w:val="99"/>
    <w:semiHidden/>
    <w:rsid w:val="001C1C94"/>
    <w:rPr>
      <w:sz w:val="20"/>
      <w:szCs w:val="20"/>
    </w:rPr>
  </w:style>
  <w:style w:type="paragraph" w:styleId="BalloonText">
    <w:name w:val="Balloon Text"/>
    <w:basedOn w:val="Normal"/>
    <w:link w:val="BalloonTextChar"/>
    <w:uiPriority w:val="99"/>
    <w:semiHidden/>
    <w:unhideWhenUsed/>
    <w:rsid w:val="001C1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4074"/>
    <w:rPr>
      <w:b/>
      <w:bCs/>
    </w:rPr>
  </w:style>
  <w:style w:type="character" w:customStyle="1" w:styleId="CommentSubjectChar">
    <w:name w:val="Comment Subject Char"/>
    <w:basedOn w:val="CommentTextChar"/>
    <w:link w:val="CommentSubject"/>
    <w:uiPriority w:val="99"/>
    <w:semiHidden/>
    <w:rsid w:val="00EE4074"/>
    <w:rPr>
      <w:b/>
      <w:bCs/>
      <w:sz w:val="20"/>
      <w:szCs w:val="20"/>
    </w:rPr>
  </w:style>
  <w:style w:type="table" w:customStyle="1" w:styleId="TableGrid1">
    <w:name w:val="Table Grid1"/>
    <w:basedOn w:val="TableNormal"/>
    <w:next w:val="TableGrid"/>
    <w:uiPriority w:val="59"/>
    <w:rsid w:val="00C65BE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35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F88"/>
  </w:style>
  <w:style w:type="paragraph" w:styleId="Footer">
    <w:name w:val="footer"/>
    <w:basedOn w:val="Normal"/>
    <w:link w:val="FooterChar"/>
    <w:uiPriority w:val="99"/>
    <w:unhideWhenUsed/>
    <w:rsid w:val="00803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F88"/>
  </w:style>
  <w:style w:type="paragraph" w:styleId="NormalWeb">
    <w:name w:val="Normal (Web)"/>
    <w:basedOn w:val="Normal"/>
    <w:uiPriority w:val="99"/>
    <w:unhideWhenUsed/>
    <w:rsid w:val="001E6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Default"/>
    <w:next w:val="Default"/>
    <w:uiPriority w:val="99"/>
    <w:rsid w:val="007D477B"/>
    <w:pPr>
      <w:spacing w:line="241" w:lineRule="atLeast"/>
    </w:pPr>
    <w:rPr>
      <w:rFonts w:ascii="Graphik Regular" w:hAnsi="Graphik Regular" w:cstheme="minorBidi"/>
      <w:color w:val="auto"/>
    </w:rPr>
  </w:style>
  <w:style w:type="character" w:customStyle="1" w:styleId="A5">
    <w:name w:val="A5"/>
    <w:uiPriority w:val="99"/>
    <w:rsid w:val="007D477B"/>
    <w:rPr>
      <w:rFonts w:cs="Graphik Regular"/>
      <w:color w:val="000000"/>
      <w:sz w:val="20"/>
      <w:szCs w:val="20"/>
    </w:rPr>
  </w:style>
  <w:style w:type="paragraph" w:styleId="PlainText">
    <w:name w:val="Plain Text"/>
    <w:basedOn w:val="Normal"/>
    <w:link w:val="PlainTextChar"/>
    <w:uiPriority w:val="99"/>
    <w:unhideWhenUsed/>
    <w:rsid w:val="00D562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6253"/>
    <w:rPr>
      <w:rFonts w:ascii="Calibri" w:hAnsi="Calibri"/>
      <w:szCs w:val="21"/>
    </w:rPr>
  </w:style>
  <w:style w:type="paragraph" w:styleId="Revision">
    <w:name w:val="Revision"/>
    <w:hidden/>
    <w:uiPriority w:val="99"/>
    <w:semiHidden/>
    <w:rsid w:val="0002338F"/>
    <w:pPr>
      <w:spacing w:after="0" w:line="240" w:lineRule="auto"/>
    </w:pPr>
  </w:style>
  <w:style w:type="table" w:customStyle="1" w:styleId="TableGrid3">
    <w:name w:val="Table Grid3"/>
    <w:basedOn w:val="TableNormal"/>
    <w:next w:val="TableGrid"/>
    <w:uiPriority w:val="59"/>
    <w:rsid w:val="00BD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AAD"/>
    <w:rPr>
      <w:color w:val="0000FF" w:themeColor="hyperlink"/>
      <w:u w:val="single"/>
    </w:rPr>
  </w:style>
  <w:style w:type="character" w:styleId="FollowedHyperlink">
    <w:name w:val="FollowedHyperlink"/>
    <w:basedOn w:val="DefaultParagraphFont"/>
    <w:uiPriority w:val="99"/>
    <w:semiHidden/>
    <w:unhideWhenUsed/>
    <w:rsid w:val="00BD6B9A"/>
    <w:rPr>
      <w:color w:val="800080" w:themeColor="followedHyperlink"/>
      <w:u w:val="single"/>
    </w:rPr>
  </w:style>
  <w:style w:type="character" w:customStyle="1" w:styleId="Heading3Char">
    <w:name w:val="Heading 3 Char"/>
    <w:basedOn w:val="DefaultParagraphFont"/>
    <w:link w:val="Heading3"/>
    <w:uiPriority w:val="9"/>
    <w:rsid w:val="00E169C6"/>
    <w:rPr>
      <w:rFonts w:ascii="Times New Roman" w:eastAsia="Times New Roman" w:hAnsi="Times New Roman" w:cs="Times New Roman"/>
      <w:b/>
      <w:bCs/>
      <w:sz w:val="27"/>
      <w:szCs w:val="27"/>
      <w:lang w:val="en-IE" w:eastAsia="en-IE"/>
    </w:rPr>
  </w:style>
  <w:style w:type="character" w:customStyle="1" w:styleId="Heading1Char">
    <w:name w:val="Heading 1 Char"/>
    <w:basedOn w:val="DefaultParagraphFont"/>
    <w:link w:val="Heading1"/>
    <w:uiPriority w:val="9"/>
    <w:rsid w:val="00EC29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29A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D47A2"/>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632A79"/>
    <w:pPr>
      <w:outlineLvl w:val="9"/>
    </w:pPr>
    <w:rPr>
      <w:lang w:val="en-US" w:eastAsia="ja-JP"/>
    </w:rPr>
  </w:style>
  <w:style w:type="paragraph" w:styleId="TOC1">
    <w:name w:val="toc 1"/>
    <w:basedOn w:val="Normal"/>
    <w:next w:val="Normal"/>
    <w:autoRedefine/>
    <w:uiPriority w:val="39"/>
    <w:unhideWhenUsed/>
    <w:rsid w:val="00632A79"/>
    <w:pPr>
      <w:spacing w:after="100"/>
    </w:pPr>
  </w:style>
  <w:style w:type="paragraph" w:styleId="TOC2">
    <w:name w:val="toc 2"/>
    <w:basedOn w:val="Normal"/>
    <w:next w:val="Normal"/>
    <w:autoRedefine/>
    <w:uiPriority w:val="39"/>
    <w:unhideWhenUsed/>
    <w:rsid w:val="00632A79"/>
    <w:pPr>
      <w:spacing w:after="100"/>
      <w:ind w:left="220"/>
    </w:pPr>
  </w:style>
  <w:style w:type="paragraph" w:styleId="TOC3">
    <w:name w:val="toc 3"/>
    <w:basedOn w:val="Normal"/>
    <w:next w:val="Normal"/>
    <w:autoRedefine/>
    <w:uiPriority w:val="39"/>
    <w:unhideWhenUsed/>
    <w:rsid w:val="00632A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842">
      <w:bodyDiv w:val="1"/>
      <w:marLeft w:val="0"/>
      <w:marRight w:val="0"/>
      <w:marTop w:val="0"/>
      <w:marBottom w:val="0"/>
      <w:divBdr>
        <w:top w:val="none" w:sz="0" w:space="0" w:color="auto"/>
        <w:left w:val="none" w:sz="0" w:space="0" w:color="auto"/>
        <w:bottom w:val="none" w:sz="0" w:space="0" w:color="auto"/>
        <w:right w:val="none" w:sz="0" w:space="0" w:color="auto"/>
      </w:divBdr>
    </w:div>
    <w:div w:id="480275622">
      <w:bodyDiv w:val="1"/>
      <w:marLeft w:val="0"/>
      <w:marRight w:val="0"/>
      <w:marTop w:val="0"/>
      <w:marBottom w:val="0"/>
      <w:divBdr>
        <w:top w:val="none" w:sz="0" w:space="0" w:color="auto"/>
        <w:left w:val="none" w:sz="0" w:space="0" w:color="auto"/>
        <w:bottom w:val="none" w:sz="0" w:space="0" w:color="auto"/>
        <w:right w:val="none" w:sz="0" w:space="0" w:color="auto"/>
      </w:divBdr>
      <w:divsChild>
        <w:div w:id="1530681374">
          <w:marLeft w:val="0"/>
          <w:marRight w:val="0"/>
          <w:marTop w:val="0"/>
          <w:marBottom w:val="0"/>
          <w:divBdr>
            <w:top w:val="none" w:sz="0" w:space="0" w:color="auto"/>
            <w:left w:val="none" w:sz="0" w:space="0" w:color="auto"/>
            <w:bottom w:val="none" w:sz="0" w:space="0" w:color="auto"/>
            <w:right w:val="none" w:sz="0" w:space="0" w:color="auto"/>
          </w:divBdr>
        </w:div>
      </w:divsChild>
    </w:div>
    <w:div w:id="691150782">
      <w:bodyDiv w:val="1"/>
      <w:marLeft w:val="0"/>
      <w:marRight w:val="0"/>
      <w:marTop w:val="0"/>
      <w:marBottom w:val="0"/>
      <w:divBdr>
        <w:top w:val="none" w:sz="0" w:space="0" w:color="auto"/>
        <w:left w:val="none" w:sz="0" w:space="0" w:color="auto"/>
        <w:bottom w:val="none" w:sz="0" w:space="0" w:color="auto"/>
        <w:right w:val="none" w:sz="0" w:space="0" w:color="auto"/>
      </w:divBdr>
    </w:div>
    <w:div w:id="1111171474">
      <w:bodyDiv w:val="1"/>
      <w:marLeft w:val="0"/>
      <w:marRight w:val="0"/>
      <w:marTop w:val="0"/>
      <w:marBottom w:val="0"/>
      <w:divBdr>
        <w:top w:val="none" w:sz="0" w:space="0" w:color="auto"/>
        <w:left w:val="none" w:sz="0" w:space="0" w:color="auto"/>
        <w:bottom w:val="none" w:sz="0" w:space="0" w:color="auto"/>
        <w:right w:val="none" w:sz="0" w:space="0" w:color="auto"/>
      </w:divBdr>
      <w:divsChild>
        <w:div w:id="350227428">
          <w:marLeft w:val="0"/>
          <w:marRight w:val="0"/>
          <w:marTop w:val="0"/>
          <w:marBottom w:val="0"/>
          <w:divBdr>
            <w:top w:val="none" w:sz="0" w:space="0" w:color="auto"/>
            <w:left w:val="none" w:sz="0" w:space="0" w:color="auto"/>
            <w:bottom w:val="none" w:sz="0" w:space="0" w:color="auto"/>
            <w:right w:val="none" w:sz="0" w:space="0" w:color="auto"/>
          </w:divBdr>
          <w:divsChild>
            <w:div w:id="1998722247">
              <w:marLeft w:val="0"/>
              <w:marRight w:val="0"/>
              <w:marTop w:val="0"/>
              <w:marBottom w:val="0"/>
              <w:divBdr>
                <w:top w:val="none" w:sz="0" w:space="0" w:color="auto"/>
                <w:left w:val="none" w:sz="0" w:space="0" w:color="auto"/>
                <w:bottom w:val="none" w:sz="0" w:space="0" w:color="auto"/>
                <w:right w:val="none" w:sz="0" w:space="0" w:color="auto"/>
              </w:divBdr>
              <w:divsChild>
                <w:div w:id="857041680">
                  <w:marLeft w:val="0"/>
                  <w:marRight w:val="0"/>
                  <w:marTop w:val="0"/>
                  <w:marBottom w:val="0"/>
                  <w:divBdr>
                    <w:top w:val="none" w:sz="0" w:space="0" w:color="auto"/>
                    <w:left w:val="none" w:sz="0" w:space="0" w:color="auto"/>
                    <w:bottom w:val="none" w:sz="0" w:space="0" w:color="auto"/>
                    <w:right w:val="none" w:sz="0" w:space="0" w:color="auto"/>
                  </w:divBdr>
                  <w:divsChild>
                    <w:div w:id="2085450444">
                      <w:marLeft w:val="0"/>
                      <w:marRight w:val="0"/>
                      <w:marTop w:val="0"/>
                      <w:marBottom w:val="0"/>
                      <w:divBdr>
                        <w:top w:val="none" w:sz="0" w:space="0" w:color="auto"/>
                        <w:left w:val="none" w:sz="0" w:space="0" w:color="auto"/>
                        <w:bottom w:val="none" w:sz="0" w:space="0" w:color="auto"/>
                        <w:right w:val="none" w:sz="0" w:space="0" w:color="auto"/>
                      </w:divBdr>
                      <w:divsChild>
                        <w:div w:id="1326007951">
                          <w:marLeft w:val="0"/>
                          <w:marRight w:val="0"/>
                          <w:marTop w:val="0"/>
                          <w:marBottom w:val="0"/>
                          <w:divBdr>
                            <w:top w:val="none" w:sz="0" w:space="0" w:color="auto"/>
                            <w:left w:val="none" w:sz="0" w:space="0" w:color="auto"/>
                            <w:bottom w:val="none" w:sz="0" w:space="0" w:color="auto"/>
                            <w:right w:val="none" w:sz="0" w:space="0" w:color="auto"/>
                          </w:divBdr>
                          <w:divsChild>
                            <w:div w:id="1066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49388">
      <w:bodyDiv w:val="1"/>
      <w:marLeft w:val="0"/>
      <w:marRight w:val="0"/>
      <w:marTop w:val="0"/>
      <w:marBottom w:val="0"/>
      <w:divBdr>
        <w:top w:val="none" w:sz="0" w:space="0" w:color="auto"/>
        <w:left w:val="none" w:sz="0" w:space="0" w:color="auto"/>
        <w:bottom w:val="none" w:sz="0" w:space="0" w:color="auto"/>
        <w:right w:val="none" w:sz="0" w:space="0" w:color="auto"/>
      </w:divBdr>
      <w:divsChild>
        <w:div w:id="1693142741">
          <w:marLeft w:val="0"/>
          <w:marRight w:val="0"/>
          <w:marTop w:val="0"/>
          <w:marBottom w:val="0"/>
          <w:divBdr>
            <w:top w:val="none" w:sz="0" w:space="0" w:color="auto"/>
            <w:left w:val="none" w:sz="0" w:space="0" w:color="auto"/>
            <w:bottom w:val="none" w:sz="0" w:space="0" w:color="auto"/>
            <w:right w:val="none" w:sz="0" w:space="0" w:color="auto"/>
          </w:divBdr>
        </w:div>
        <w:div w:id="1909850337">
          <w:marLeft w:val="0"/>
          <w:marRight w:val="0"/>
          <w:marTop w:val="0"/>
          <w:marBottom w:val="0"/>
          <w:divBdr>
            <w:top w:val="none" w:sz="0" w:space="0" w:color="auto"/>
            <w:left w:val="none" w:sz="0" w:space="0" w:color="auto"/>
            <w:bottom w:val="none" w:sz="0" w:space="0" w:color="auto"/>
            <w:right w:val="none" w:sz="0" w:space="0" w:color="auto"/>
          </w:divBdr>
        </w:div>
      </w:divsChild>
    </w:div>
    <w:div w:id="1411807072">
      <w:bodyDiv w:val="1"/>
      <w:marLeft w:val="0"/>
      <w:marRight w:val="0"/>
      <w:marTop w:val="0"/>
      <w:marBottom w:val="0"/>
      <w:divBdr>
        <w:top w:val="none" w:sz="0" w:space="0" w:color="auto"/>
        <w:left w:val="none" w:sz="0" w:space="0" w:color="auto"/>
        <w:bottom w:val="none" w:sz="0" w:space="0" w:color="auto"/>
        <w:right w:val="none" w:sz="0" w:space="0" w:color="auto"/>
      </w:divBdr>
    </w:div>
    <w:div w:id="1516772477">
      <w:bodyDiv w:val="1"/>
      <w:marLeft w:val="0"/>
      <w:marRight w:val="0"/>
      <w:marTop w:val="0"/>
      <w:marBottom w:val="0"/>
      <w:divBdr>
        <w:top w:val="none" w:sz="0" w:space="0" w:color="auto"/>
        <w:left w:val="none" w:sz="0" w:space="0" w:color="auto"/>
        <w:bottom w:val="none" w:sz="0" w:space="0" w:color="auto"/>
        <w:right w:val="none" w:sz="0" w:space="0" w:color="auto"/>
      </w:divBdr>
    </w:div>
    <w:div w:id="1532570106">
      <w:bodyDiv w:val="1"/>
      <w:marLeft w:val="0"/>
      <w:marRight w:val="0"/>
      <w:marTop w:val="0"/>
      <w:marBottom w:val="0"/>
      <w:divBdr>
        <w:top w:val="none" w:sz="0" w:space="0" w:color="auto"/>
        <w:left w:val="none" w:sz="0" w:space="0" w:color="auto"/>
        <w:bottom w:val="none" w:sz="0" w:space="0" w:color="auto"/>
        <w:right w:val="none" w:sz="0" w:space="0" w:color="auto"/>
      </w:divBdr>
      <w:divsChild>
        <w:div w:id="271128256">
          <w:marLeft w:val="0"/>
          <w:marRight w:val="0"/>
          <w:marTop w:val="0"/>
          <w:marBottom w:val="0"/>
          <w:divBdr>
            <w:top w:val="none" w:sz="0" w:space="0" w:color="auto"/>
            <w:left w:val="none" w:sz="0" w:space="0" w:color="auto"/>
            <w:bottom w:val="none" w:sz="0" w:space="0" w:color="auto"/>
            <w:right w:val="none" w:sz="0" w:space="0" w:color="auto"/>
          </w:divBdr>
        </w:div>
      </w:divsChild>
    </w:div>
    <w:div w:id="1563640861">
      <w:bodyDiv w:val="1"/>
      <w:marLeft w:val="0"/>
      <w:marRight w:val="0"/>
      <w:marTop w:val="0"/>
      <w:marBottom w:val="0"/>
      <w:divBdr>
        <w:top w:val="none" w:sz="0" w:space="0" w:color="auto"/>
        <w:left w:val="none" w:sz="0" w:space="0" w:color="auto"/>
        <w:bottom w:val="none" w:sz="0" w:space="0" w:color="auto"/>
        <w:right w:val="none" w:sz="0" w:space="0" w:color="auto"/>
      </w:divBdr>
    </w:div>
    <w:div w:id="1695572337">
      <w:bodyDiv w:val="1"/>
      <w:marLeft w:val="0"/>
      <w:marRight w:val="0"/>
      <w:marTop w:val="0"/>
      <w:marBottom w:val="0"/>
      <w:divBdr>
        <w:top w:val="none" w:sz="0" w:space="0" w:color="auto"/>
        <w:left w:val="none" w:sz="0" w:space="0" w:color="auto"/>
        <w:bottom w:val="none" w:sz="0" w:space="0" w:color="auto"/>
        <w:right w:val="none" w:sz="0" w:space="0" w:color="auto"/>
      </w:divBdr>
      <w:divsChild>
        <w:div w:id="1000541458">
          <w:marLeft w:val="0"/>
          <w:marRight w:val="0"/>
          <w:marTop w:val="0"/>
          <w:marBottom w:val="0"/>
          <w:divBdr>
            <w:top w:val="none" w:sz="0" w:space="0" w:color="auto"/>
            <w:left w:val="none" w:sz="0" w:space="0" w:color="auto"/>
            <w:bottom w:val="none" w:sz="0" w:space="0" w:color="auto"/>
            <w:right w:val="none" w:sz="0" w:space="0" w:color="auto"/>
          </w:divBdr>
        </w:div>
      </w:divsChild>
    </w:div>
    <w:div w:id="1700818466">
      <w:bodyDiv w:val="1"/>
      <w:marLeft w:val="0"/>
      <w:marRight w:val="0"/>
      <w:marTop w:val="0"/>
      <w:marBottom w:val="0"/>
      <w:divBdr>
        <w:top w:val="none" w:sz="0" w:space="0" w:color="auto"/>
        <w:left w:val="none" w:sz="0" w:space="0" w:color="auto"/>
        <w:bottom w:val="none" w:sz="0" w:space="0" w:color="auto"/>
        <w:right w:val="none" w:sz="0" w:space="0" w:color="auto"/>
      </w:divBdr>
      <w:divsChild>
        <w:div w:id="82431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oryofchange.org/what-is-theory-of-change" TargetMode="External"/><Relationship Id="rId18" Type="http://schemas.openxmlformats.org/officeDocument/2006/relationships/hyperlink" Target="http://www.disability-federation.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rmichaelcentre.ie"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wheel.ie" TargetMode="External"/><Relationship Id="rId25" Type="http://schemas.openxmlformats.org/officeDocument/2006/relationships/hyperlink" Target="http://www.advocacyinitiative.ie"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www.focusirelan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54degrees.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wheel.ie" TargetMode="External"/><Relationship Id="rId10" Type="http://schemas.openxmlformats.org/officeDocument/2006/relationships/image" Target="media/image2.JPG"/><Relationship Id="rId19" Type="http://schemas.openxmlformats.org/officeDocument/2006/relationships/hyperlink" Target="http://www.barnardos.i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presencing.com/theoryu" TargetMode="External"/><Relationship Id="rId22" Type="http://schemas.openxmlformats.org/officeDocument/2006/relationships/hyperlink" Target="http://www.communityplatform.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4275-E218-41A5-9792-7273B72E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14737</Words>
  <Characters>84001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Walsh</dc:creator>
  <cp:lastModifiedBy>Advocacy Initiative</cp:lastModifiedBy>
  <cp:revision>3</cp:revision>
  <cp:lastPrinted>2014-05-13T11:14:00Z</cp:lastPrinted>
  <dcterms:created xsi:type="dcterms:W3CDTF">2014-07-30T13:28:00Z</dcterms:created>
  <dcterms:modified xsi:type="dcterms:W3CDTF">2014-07-30T13:31:00Z</dcterms:modified>
</cp:coreProperties>
</file>